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before="120" w:after="120"/>
        <w:ind w:left="5040" w:right="0" w:hanging="0"/>
        <w:jc w:val="both"/>
        <w:rPr>
          <w:rFonts w:cs="Tahoma" w:ascii="Tahoma" w:hAnsi="Tahoma"/>
          <w:sz w:val="22"/>
          <w:szCs w:val="22"/>
        </w:rPr>
      </w:pPr>
      <w:r>
        <w:rPr>
          <w:rFonts w:cs="Tahoma" w:ascii="Tahoma" w:hAnsi="Tahoma"/>
          <w:sz w:val="22"/>
          <w:szCs w:val="22"/>
        </w:rPr>
        <w:t>Spett.le COMUNE DI INDUNO OLONA</w:t>
      </w:r>
    </w:p>
    <w:p>
      <w:pPr>
        <w:pStyle w:val="Normal"/>
        <w:spacing w:before="120" w:after="120"/>
        <w:jc w:val="both"/>
        <w:rPr>
          <w:rFonts w:cs="Tahoma" w:ascii="Tahoma" w:hAnsi="Tahoma"/>
          <w:sz w:val="22"/>
          <w:szCs w:val="22"/>
        </w:rPr>
      </w:pPr>
      <w:r>
        <w:rPr>
          <w:rFonts w:cs="Tahoma" w:ascii="Tahoma" w:hAnsi="Tahoma"/>
          <w:sz w:val="22"/>
          <w:szCs w:val="22"/>
        </w:rPr>
      </w:r>
    </w:p>
    <w:p>
      <w:pPr>
        <w:pStyle w:val="Corpodeltesto21"/>
        <w:ind w:left="0" w:right="-7" w:hanging="0"/>
        <w:rPr>
          <w:rFonts w:cs="Tahoma" w:ascii="Tahoma" w:hAnsi="Tahoma"/>
          <w:sz w:val="22"/>
          <w:szCs w:val="22"/>
          <w:lang w:val="it-IT"/>
        </w:rPr>
      </w:pPr>
      <w:r>
        <w:rPr>
          <w:rFonts w:cs="Tahoma" w:ascii="Tahoma" w:hAnsi="Tahoma"/>
          <w:sz w:val="22"/>
          <w:szCs w:val="22"/>
          <w:lang w:val="it-IT"/>
        </w:rPr>
        <w:t>OGGETTO: Autocertificazione ai sensi dell’art. 46 e 47 del DPR 445/2000</w:t>
      </w:r>
    </w:p>
    <w:p>
      <w:pPr>
        <w:pStyle w:val="Normal"/>
        <w:spacing w:before="120" w:after="120"/>
        <w:jc w:val="both"/>
        <w:rPr>
          <w:rFonts w:cs="Tahoma" w:ascii="Tahoma" w:hAnsi="Tahoma"/>
          <w:sz w:val="22"/>
          <w:szCs w:val="22"/>
        </w:rPr>
      </w:pPr>
      <w:r>
        <w:rPr>
          <w:rFonts w:cs="Tahoma" w:ascii="Tahoma" w:hAnsi="Tahoma"/>
          <w:sz w:val="22"/>
          <w:szCs w:val="22"/>
        </w:rPr>
        <w:t xml:space="preserve">Il/la sottoscritto/a </w:t>
      </w:r>
      <w:r>
        <w:rPr>
          <w:rFonts w:cs="Tahoma" w:ascii="Tahoma" w:hAnsi="Tahoma"/>
          <w:b/>
          <w:bCs/>
          <w:color w:val="000000"/>
          <w:sz w:val="22"/>
          <w:szCs w:val="22"/>
          <w:u w:val="none" w:color="000000"/>
        </w:rPr>
        <w:t>_______________________</w:t>
      </w:r>
      <w:r>
        <w:rPr>
          <w:rFonts w:cs="Tahoma" w:ascii="Tahoma" w:hAnsi="Tahoma"/>
          <w:sz w:val="22"/>
          <w:szCs w:val="22"/>
        </w:rPr>
        <w:t xml:space="preserve">, nato/a a </w:t>
      </w:r>
      <w:r>
        <w:rPr>
          <w:rFonts w:cs="Tahoma" w:ascii="Tahoma" w:hAnsi="Tahoma"/>
          <w:b/>
          <w:bCs/>
          <w:color w:val="000000"/>
          <w:sz w:val="22"/>
          <w:szCs w:val="22"/>
          <w:u w:val="none" w:color="000000"/>
        </w:rPr>
        <w:t>_______________________</w:t>
      </w:r>
      <w:r>
        <w:rPr>
          <w:rFonts w:cs="Tahoma" w:ascii="Tahoma" w:hAnsi="Tahoma"/>
          <w:sz w:val="22"/>
          <w:szCs w:val="22"/>
        </w:rPr>
        <w:t xml:space="preserve">, il </w:t>
      </w:r>
      <w:r>
        <w:rPr>
          <w:rFonts w:cs="Tahoma" w:ascii="Tahoma" w:hAnsi="Tahoma"/>
          <w:b/>
          <w:bCs/>
          <w:color w:val="000000"/>
          <w:sz w:val="22"/>
          <w:szCs w:val="22"/>
          <w:u w:val="none" w:color="000000"/>
        </w:rPr>
        <w:t>_______________________</w:t>
      </w:r>
      <w:r>
        <w:rPr>
          <w:rFonts w:cs="Tahoma" w:ascii="Tahoma" w:hAnsi="Tahoma"/>
          <w:sz w:val="22"/>
          <w:szCs w:val="22"/>
        </w:rPr>
        <w:t xml:space="preserve">, residente in </w:t>
      </w:r>
      <w:r>
        <w:rPr>
          <w:rFonts w:cs="Tahoma" w:ascii="Tahoma" w:hAnsi="Tahoma"/>
          <w:b/>
          <w:bCs/>
          <w:color w:val="000000"/>
          <w:sz w:val="22"/>
          <w:szCs w:val="22"/>
          <w:u w:val="none" w:color="000000"/>
        </w:rPr>
        <w:t xml:space="preserve">______________________________________________ </w:t>
      </w:r>
      <w:r>
        <w:rPr>
          <w:rFonts w:cs="Tahoma" w:ascii="Tahoma" w:hAnsi="Tahoma"/>
          <w:sz w:val="22"/>
          <w:szCs w:val="22"/>
        </w:rPr>
        <w:t>C.F</w:t>
      </w:r>
      <w:r>
        <w:rPr>
          <w:rFonts w:cs="Tahoma" w:ascii="Tahoma" w:hAnsi="Tahoma"/>
          <w:b/>
          <w:bCs/>
          <w:color w:val="000000"/>
          <w:sz w:val="22"/>
          <w:szCs w:val="22"/>
          <w:u w:val="none" w:color="000000"/>
        </w:rPr>
        <w:t>_______________________</w:t>
      </w:r>
      <w:r>
        <w:rPr>
          <w:rFonts w:cs="Tahoma" w:ascii="Tahoma" w:hAnsi="Tahoma"/>
          <w:sz w:val="22"/>
          <w:szCs w:val="22"/>
        </w:rPr>
        <w:t xml:space="preserve">, in qualità di </w:t>
      </w:r>
      <w:r>
        <w:rPr>
          <w:rFonts w:cs="Tahoma" w:ascii="Tahoma" w:hAnsi="Tahoma"/>
          <w:b/>
          <w:bCs/>
          <w:color w:val="000000"/>
          <w:sz w:val="22"/>
          <w:szCs w:val="22"/>
          <w:u w:val="none" w:color="000000"/>
        </w:rPr>
        <w:t xml:space="preserve">____________________________________ </w:t>
      </w:r>
      <w:r>
        <w:rPr>
          <w:rFonts w:cs="Tahoma" w:ascii="Tahoma" w:hAnsi="Tahoma"/>
          <w:bCs/>
          <w:color w:val="000000"/>
          <w:sz w:val="22"/>
          <w:szCs w:val="22"/>
          <w:u w:val="none" w:color="000000"/>
        </w:rPr>
        <w:t>dell’impresa</w:t>
      </w:r>
      <w:r>
        <w:rPr>
          <w:rFonts w:cs="Tahoma" w:ascii="Tahoma" w:hAnsi="Tahoma"/>
          <w:sz w:val="22"/>
          <w:szCs w:val="22"/>
        </w:rPr>
        <w:t xml:space="preserve"> </w:t>
      </w:r>
      <w:r>
        <w:rPr>
          <w:rFonts w:cs="Tahoma" w:ascii="Tahoma" w:hAnsi="Tahoma"/>
          <w:b/>
          <w:bCs/>
          <w:color w:val="000000"/>
          <w:sz w:val="22"/>
          <w:szCs w:val="22"/>
          <w:u w:val="none" w:color="000000"/>
        </w:rPr>
        <w:t xml:space="preserve">______________________________ </w:t>
      </w:r>
      <w:r>
        <w:rPr>
          <w:rFonts w:cs="Tahoma" w:ascii="Tahoma" w:hAnsi="Tahoma"/>
          <w:sz w:val="22"/>
          <w:szCs w:val="22"/>
        </w:rPr>
        <w:t xml:space="preserve">con sede legale in </w:t>
      </w:r>
      <w:r>
        <w:rPr>
          <w:rFonts w:cs="Tahoma" w:ascii="Tahoma" w:hAnsi="Tahoma"/>
          <w:b/>
          <w:bCs/>
          <w:color w:val="000000"/>
          <w:sz w:val="22"/>
          <w:szCs w:val="22"/>
          <w:u w:val="none" w:color="000000"/>
        </w:rPr>
        <w:t xml:space="preserve">______________________________________ </w:t>
      </w:r>
      <w:r>
        <w:rPr>
          <w:rFonts w:cs="Tahoma" w:ascii="Tahoma" w:hAnsi="Tahoma"/>
          <w:sz w:val="22"/>
          <w:szCs w:val="22"/>
        </w:rPr>
        <w:t xml:space="preserve">P.IVA/C.F. </w:t>
      </w:r>
      <w:r>
        <w:rPr>
          <w:rFonts w:cs="Tahoma" w:ascii="Tahoma" w:hAnsi="Tahoma"/>
          <w:b/>
          <w:bCs/>
          <w:color w:val="000000"/>
          <w:sz w:val="22"/>
          <w:szCs w:val="22"/>
          <w:u w:val="none" w:color="000000"/>
        </w:rPr>
        <w:t xml:space="preserve">_______________________ </w:t>
      </w:r>
      <w:r>
        <w:rPr>
          <w:rFonts w:cs="Tahoma" w:ascii="Tahoma" w:hAnsi="Tahoma"/>
          <w:sz w:val="22"/>
          <w:szCs w:val="22"/>
        </w:rPr>
        <w:t xml:space="preserve">PEC </w:t>
      </w:r>
      <w:r>
        <w:rPr>
          <w:rFonts w:cs="Tahoma" w:ascii="Tahoma" w:hAnsi="Tahoma"/>
          <w:b/>
          <w:bCs/>
          <w:color w:val="000000"/>
          <w:sz w:val="22"/>
          <w:szCs w:val="22"/>
          <w:u w:val="none" w:color="000000"/>
        </w:rPr>
        <w:t xml:space="preserve">_______________________ </w:t>
      </w:r>
      <w:r>
        <w:rPr>
          <w:rFonts w:cs="Tahoma" w:ascii="Tahoma" w:hAnsi="Tahoma"/>
          <w:sz w:val="22"/>
          <w:szCs w:val="22"/>
        </w:rPr>
        <w:t xml:space="preserve">tel </w:t>
      </w:r>
      <w:r>
        <w:rPr>
          <w:rFonts w:cs="Tahoma" w:ascii="Tahoma" w:hAnsi="Tahoma"/>
          <w:b/>
          <w:bCs/>
          <w:color w:val="000000"/>
          <w:sz w:val="22"/>
          <w:szCs w:val="22"/>
          <w:u w:val="none" w:color="000000"/>
        </w:rPr>
        <w:t>_____________________</w:t>
      </w:r>
      <w:r>
        <w:rPr>
          <w:rFonts w:cs="Tahoma" w:ascii="Tahoma" w:hAnsi="Tahoma"/>
          <w:sz w:val="22"/>
          <w:szCs w:val="22"/>
        </w:rPr>
        <w:t>,</w:t>
      </w:r>
    </w:p>
    <w:p>
      <w:pPr>
        <w:pStyle w:val="Normal"/>
        <w:spacing w:before="120" w:after="120"/>
        <w:jc w:val="center"/>
        <w:rPr>
          <w:rFonts w:cs="Tahoma" w:ascii="Tahoma" w:hAnsi="Tahoma"/>
          <w:b/>
          <w:sz w:val="22"/>
          <w:szCs w:val="22"/>
        </w:rPr>
      </w:pPr>
      <w:r>
        <w:rPr>
          <w:rFonts w:cs="Tahoma" w:ascii="Tahoma" w:hAnsi="Tahoma"/>
          <w:b/>
          <w:sz w:val="22"/>
          <w:szCs w:val="22"/>
        </w:rPr>
      </w:r>
    </w:p>
    <w:p>
      <w:pPr>
        <w:pStyle w:val="Normal"/>
        <w:spacing w:before="120" w:after="120"/>
        <w:jc w:val="center"/>
        <w:rPr>
          <w:rFonts w:cs="Tahoma" w:ascii="Tahoma" w:hAnsi="Tahoma"/>
          <w:b/>
          <w:sz w:val="22"/>
          <w:szCs w:val="22"/>
        </w:rPr>
      </w:pPr>
      <w:r>
        <w:rPr>
          <w:rFonts w:cs="Tahoma" w:ascii="Tahoma" w:hAnsi="Tahoma"/>
          <w:b/>
          <w:sz w:val="22"/>
          <w:szCs w:val="22"/>
        </w:rPr>
        <w:t>DICHIARA</w:t>
      </w:r>
    </w:p>
    <w:p>
      <w:pPr>
        <w:pStyle w:val="Normal"/>
        <w:spacing w:before="120" w:after="120"/>
        <w:jc w:val="center"/>
        <w:rPr>
          <w:rFonts w:cs="Tahoma" w:ascii="Tahoma" w:hAnsi="Tahoma"/>
          <w:b/>
          <w:sz w:val="22"/>
          <w:szCs w:val="22"/>
        </w:rPr>
      </w:pPr>
      <w:r>
        <w:rPr>
          <w:rFonts w:cs="Tahoma" w:ascii="Tahoma" w:hAnsi="Tahoma"/>
          <w:b/>
          <w:sz w:val="22"/>
          <w:szCs w:val="22"/>
        </w:rPr>
      </w:r>
    </w:p>
    <w:p>
      <w:pPr>
        <w:pStyle w:val="Normal"/>
        <w:tabs>
          <w:tab w:val="left" w:pos="9638" w:leader="none"/>
        </w:tabs>
        <w:jc w:val="both"/>
        <w:rPr>
          <w:rFonts w:cs="Tahoma" w:ascii="Tahoma" w:hAnsi="Tahoma"/>
          <w:sz w:val="22"/>
          <w:szCs w:val="22"/>
          <w:u w:val="single"/>
        </w:rPr>
      </w:pPr>
      <w:r>
        <w:rPr>
          <w:rFonts w:cs="Tahoma" w:ascii="Tahoma" w:hAnsi="Tahoma"/>
          <w:sz w:val="22"/>
          <w:szCs w:val="22"/>
        </w:rPr>
        <w:t xml:space="preserve">- </w:t>
      </w:r>
      <w:r>
        <w:rPr>
          <w:rFonts w:cs="Tahoma" w:ascii="Tahoma" w:hAnsi="Tahoma"/>
          <w:i/>
          <w:sz w:val="22"/>
          <w:szCs w:val="22"/>
        </w:rPr>
        <w:t>(per tutti gli O.E. tenuti a tale obbligo)</w:t>
      </w:r>
      <w:r>
        <w:rPr>
          <w:rFonts w:cs="Tahoma" w:ascii="Tahoma" w:hAnsi="Tahoma"/>
          <w:sz w:val="22"/>
          <w:szCs w:val="22"/>
        </w:rPr>
        <w:t xml:space="preserve"> Essere iscritti alla C.C.I.A.A. o all’albo delle imprese artigiane, per attività inerenti l’oggetto dell’appalto e precisamente per le seguenti attività:</w:t>
      </w:r>
      <w:r>
        <w:rPr>
          <w:rFonts w:cs="Tahoma" w:ascii="Tahoma" w:hAnsi="Tahoma"/>
          <w:sz w:val="22"/>
          <w:szCs w:val="22"/>
          <w:u w:val="single"/>
        </w:rPr>
        <w:tab/>
      </w:r>
    </w:p>
    <w:p>
      <w:pPr>
        <w:pStyle w:val="Normal"/>
        <w:tabs>
          <w:tab w:val="left" w:pos="9638" w:leader="none"/>
        </w:tabs>
        <w:jc w:val="both"/>
        <w:rPr>
          <w:rFonts w:cs="Tahoma" w:ascii="Tahoma" w:hAnsi="Tahoma"/>
          <w:sz w:val="22"/>
          <w:szCs w:val="22"/>
          <w:u w:val="single"/>
        </w:rPr>
      </w:pPr>
      <w:r>
        <w:rPr>
          <w:rFonts w:cs="Tahoma" w:ascii="Tahoma" w:hAnsi="Tahoma"/>
          <w:sz w:val="22"/>
          <w:szCs w:val="22"/>
          <w:u w:val="single"/>
        </w:rPr>
        <w:tab/>
      </w:r>
    </w:p>
    <w:p>
      <w:pPr>
        <w:pStyle w:val="Normal"/>
        <w:tabs>
          <w:tab w:val="left" w:pos="9638" w:leader="none"/>
        </w:tabs>
        <w:jc w:val="both"/>
        <w:rPr>
          <w:rFonts w:cs="Tahoma" w:ascii="Tahoma" w:hAnsi="Tahoma"/>
          <w:sz w:val="22"/>
          <w:szCs w:val="22"/>
          <w:u w:val="single"/>
        </w:rPr>
      </w:pPr>
      <w:r>
        <w:rPr>
          <w:rFonts w:cs="Tahoma" w:ascii="Tahoma" w:hAnsi="Tahoma"/>
          <w:sz w:val="22"/>
          <w:szCs w:val="22"/>
          <w:u w:val="single"/>
        </w:rPr>
        <w:tab/>
      </w:r>
    </w:p>
    <w:p>
      <w:pPr>
        <w:pStyle w:val="Normal"/>
        <w:jc w:val="both"/>
        <w:rPr>
          <w:rFonts w:cs="Tahoma" w:ascii="Tahoma" w:hAnsi="Tahoma"/>
          <w:sz w:val="22"/>
          <w:szCs w:val="22"/>
        </w:rPr>
      </w:pPr>
      <w:r>
        <w:rPr>
          <w:rFonts w:cs="Tahoma" w:ascii="Tahoma" w:hAnsi="Tahoma"/>
          <w:sz w:val="22"/>
          <w:szCs w:val="22"/>
        </w:rPr>
      </w:r>
    </w:p>
    <w:p>
      <w:pPr>
        <w:pStyle w:val="Normal"/>
        <w:jc w:val="both"/>
        <w:rPr>
          <w:rFonts w:cs="Tahoma" w:ascii="Tahoma" w:hAnsi="Tahoma"/>
          <w:sz w:val="22"/>
          <w:szCs w:val="22"/>
        </w:rPr>
      </w:pPr>
      <w:r>
        <w:rPr>
          <w:rFonts w:cs="Tahoma" w:ascii="Tahoma" w:hAnsi="Tahoma"/>
          <w:sz w:val="22"/>
          <w:szCs w:val="22"/>
        </w:rPr>
        <w:t xml:space="preserve">- </w:t>
      </w:r>
      <w:r>
        <w:rPr>
          <w:rFonts w:cs="Tahoma" w:ascii="Tahoma" w:hAnsi="Tahoma"/>
          <w:i/>
          <w:sz w:val="22"/>
          <w:szCs w:val="22"/>
        </w:rPr>
        <w:t>(per le cooperative o consorzio di cooperative):</w:t>
      </w:r>
      <w:r>
        <w:rPr>
          <w:rFonts w:cs="Tahoma" w:ascii="Tahoma" w:hAnsi="Tahoma"/>
          <w:sz w:val="22"/>
          <w:szCs w:val="22"/>
        </w:rPr>
        <w:t xml:space="preserve"> di essere iscritto nell’Albo delle società cooperative istituito dal Ministero dello Sviluppo Economico, ai sensi del D.M. 23 giugno 2004;</w:t>
      </w:r>
    </w:p>
    <w:p>
      <w:pPr>
        <w:pStyle w:val="Normal"/>
        <w:jc w:val="both"/>
        <w:rPr>
          <w:rFonts w:cs="Tahoma" w:ascii="Tahoma" w:hAnsi="Tahoma"/>
          <w:sz w:val="22"/>
          <w:szCs w:val="22"/>
        </w:rPr>
      </w:pPr>
      <w:r>
        <w:rPr>
          <w:rFonts w:cs="Tahoma" w:ascii="Tahoma" w:hAnsi="Tahoma"/>
          <w:sz w:val="22"/>
          <w:szCs w:val="22"/>
        </w:rPr>
        <w:t xml:space="preserve">- </w:t>
      </w:r>
      <w:r>
        <w:rPr>
          <w:rFonts w:cs="Tahoma" w:ascii="Tahoma" w:hAnsi="Tahoma"/>
          <w:i/>
          <w:sz w:val="22"/>
          <w:szCs w:val="22"/>
        </w:rPr>
        <w:t>(per le Cooperative sociali):</w:t>
      </w:r>
      <w:r>
        <w:rPr>
          <w:rFonts w:cs="Tahoma" w:ascii="Tahoma" w:hAnsi="Tahoma"/>
          <w:sz w:val="22"/>
          <w:szCs w:val="22"/>
        </w:rPr>
        <w:t xml:space="preserve"> essere iscritte all’apposito Albo delle cooperative sociali presso la Regione ______________________ al nr. __________________</w:t>
      </w:r>
    </w:p>
    <w:p>
      <w:pPr>
        <w:pStyle w:val="Normal"/>
        <w:jc w:val="both"/>
        <w:rPr>
          <w:rFonts w:cs="Tahoma" w:ascii="Tahoma" w:hAnsi="Tahoma"/>
          <w:i/>
          <w:sz w:val="22"/>
          <w:szCs w:val="22"/>
        </w:rPr>
      </w:pPr>
      <w:r>
        <w:rPr>
          <w:rFonts w:cs="Tahoma" w:ascii="Tahoma" w:hAnsi="Tahoma"/>
          <w:sz w:val="22"/>
          <w:szCs w:val="22"/>
        </w:rPr>
        <w:t xml:space="preserve">- di essere iscritti all’albo_________________ </w:t>
      </w:r>
      <w:r>
        <w:rPr>
          <w:rFonts w:cs="Tahoma" w:ascii="Tahoma" w:hAnsi="Tahoma"/>
          <w:i/>
          <w:sz w:val="22"/>
          <w:szCs w:val="22"/>
        </w:rPr>
        <w:t xml:space="preserve">(in caso di affidamento professioni regolamentate) </w:t>
      </w:r>
    </w:p>
    <w:p>
      <w:pPr>
        <w:pStyle w:val="Normal"/>
        <w:tabs>
          <w:tab w:val="left" w:pos="9638" w:leader="none"/>
        </w:tabs>
        <w:jc w:val="both"/>
        <w:rPr>
          <w:rFonts w:cs="Tahoma" w:ascii="Tahoma" w:hAnsi="Tahoma"/>
          <w:sz w:val="22"/>
          <w:szCs w:val="22"/>
          <w:u w:val="single"/>
        </w:rPr>
      </w:pPr>
      <w:r>
        <w:rPr>
          <w:rFonts w:cs="Tahoma" w:ascii="Tahoma" w:hAnsi="Tahoma"/>
          <w:sz w:val="22"/>
          <w:szCs w:val="22"/>
        </w:rPr>
        <w:t>- di essere in possesso dei seguenti ulteriori requisiti di idoneità professionale richiesti nella lettera di invito:</w:t>
      </w:r>
      <w:r>
        <w:rPr>
          <w:rFonts w:cs="Tahoma" w:ascii="Tahoma" w:hAnsi="Tahoma"/>
          <w:sz w:val="22"/>
          <w:szCs w:val="22"/>
          <w:u w:val="single"/>
        </w:rPr>
        <w:tab/>
      </w:r>
    </w:p>
    <w:p>
      <w:pPr>
        <w:pStyle w:val="Normal"/>
        <w:tabs>
          <w:tab w:val="left" w:pos="9638" w:leader="none"/>
        </w:tabs>
        <w:jc w:val="both"/>
        <w:rPr>
          <w:rFonts w:cs="Tahoma" w:ascii="Tahoma" w:hAnsi="Tahoma"/>
          <w:sz w:val="22"/>
          <w:szCs w:val="22"/>
          <w:u w:val="single"/>
        </w:rPr>
      </w:pPr>
      <w:r>
        <w:rPr>
          <w:rFonts w:cs="Tahoma" w:ascii="Tahoma" w:hAnsi="Tahoma"/>
          <w:sz w:val="22"/>
          <w:szCs w:val="22"/>
          <w:u w:val="single"/>
        </w:rPr>
        <w:tab/>
      </w:r>
    </w:p>
    <w:p>
      <w:pPr>
        <w:pStyle w:val="Normal"/>
        <w:spacing w:before="120" w:after="120"/>
        <w:jc w:val="center"/>
        <w:rPr>
          <w:rFonts w:cs="Tahoma" w:ascii="Tahoma" w:hAnsi="Tahoma"/>
          <w:b/>
          <w:sz w:val="22"/>
          <w:szCs w:val="22"/>
        </w:rPr>
      </w:pPr>
      <w:r>
        <w:rPr>
          <w:rFonts w:cs="Tahoma" w:ascii="Tahoma" w:hAnsi="Tahoma"/>
          <w:b/>
          <w:sz w:val="22"/>
          <w:szCs w:val="22"/>
        </w:rPr>
      </w:r>
    </w:p>
    <w:p>
      <w:pPr>
        <w:pStyle w:val="Normal"/>
        <w:spacing w:before="120" w:after="120"/>
        <w:jc w:val="center"/>
        <w:rPr>
          <w:rFonts w:cs="Tahoma" w:ascii="Tahoma" w:hAnsi="Tahoma"/>
          <w:b/>
          <w:sz w:val="22"/>
          <w:szCs w:val="22"/>
        </w:rPr>
      </w:pPr>
      <w:r>
        <w:rPr>
          <w:rFonts w:cs="Tahoma" w:ascii="Tahoma" w:hAnsi="Tahoma"/>
          <w:b/>
          <w:sz w:val="22"/>
          <w:szCs w:val="22"/>
        </w:rPr>
        <w:t>DICHIARA</w:t>
      </w:r>
    </w:p>
    <w:p>
      <w:pPr>
        <w:pStyle w:val="Normal"/>
        <w:spacing w:before="120" w:after="120"/>
        <w:ind w:left="360" w:right="0" w:hanging="0"/>
        <w:jc w:val="both"/>
        <w:rPr>
          <w:rFonts w:cs="Tahoma" w:ascii="Tahoma" w:hAnsi="Tahoma"/>
          <w:sz w:val="22"/>
          <w:szCs w:val="22"/>
        </w:rPr>
      </w:pPr>
      <w:r>
        <w:rPr>
          <w:rFonts w:cs="Tahoma" w:ascii="Tahoma" w:hAnsi="Tahoma"/>
          <w:sz w:val="22"/>
          <w:szCs w:val="22"/>
        </w:rPr>
        <w:t>(</w:t>
      </w:r>
      <w:r>
        <w:rPr>
          <w:rFonts w:cs="Tahoma" w:ascii="Tahoma" w:hAnsi="Tahoma"/>
          <w:i/>
          <w:sz w:val="22"/>
          <w:szCs w:val="22"/>
        </w:rPr>
        <w:t>in caso di servizi/forniture</w:t>
      </w:r>
      <w:r>
        <w:rPr>
          <w:rFonts w:cs="Tahoma" w:ascii="Tahoma" w:hAnsi="Tahoma"/>
          <w:sz w:val="22"/>
          <w:szCs w:val="22"/>
        </w:rPr>
        <w:t xml:space="preserve">) </w:t>
      </w:r>
    </w:p>
    <w:p>
      <w:pPr>
        <w:pStyle w:val="Normal"/>
        <w:numPr>
          <w:ilvl w:val="0"/>
          <w:numId w:val="1"/>
        </w:numPr>
        <w:tabs>
          <w:tab w:val="left" w:pos="360" w:leader="none"/>
        </w:tabs>
        <w:spacing w:before="120" w:after="120"/>
        <w:jc w:val="both"/>
        <w:rPr>
          <w:rFonts w:cs="Tahoma" w:ascii="Tahoma" w:hAnsi="Tahoma"/>
          <w:sz w:val="22"/>
          <w:szCs w:val="22"/>
        </w:rPr>
      </w:pPr>
      <w:r>
        <w:rPr>
          <w:rFonts w:cs="Tahoma" w:ascii="Tahoma" w:hAnsi="Tahoma"/>
          <w:sz w:val="22"/>
          <w:szCs w:val="22"/>
        </w:rPr>
        <w:t xml:space="preserve">di aver eseguito le seguenti pregresse esperienze idonee a dimostrare la capacità professionale ad eseguire il contratto in corso di affidamento: </w:t>
      </w:r>
    </w:p>
    <w:tbl>
      <w:tblPr>
        <w:jc w:val="left"/>
        <w:tblInd w:w="10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3" w:type="dxa"/>
          <w:bottom w:w="0" w:type="dxa"/>
          <w:right w:w="108" w:type="dxa"/>
        </w:tblCellMar>
      </w:tblPr>
      <w:tblGrid>
        <w:gridCol w:w="2337"/>
        <w:gridCol w:w="4621"/>
        <w:gridCol w:w="2307"/>
      </w:tblGrid>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committente</w:t>
            </w:r>
          </w:p>
        </w:tc>
        <w:tc>
          <w:tcPr>
            <w:tcW w:w="462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Oggetto del contratto (descrizione completa)</w:t>
            </w:r>
          </w:p>
        </w:tc>
        <w:tc>
          <w:tcPr>
            <w:tcW w:w="23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 xml:space="preserve">Periodo </w:t>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462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462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462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462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bl>
    <w:p>
      <w:pPr>
        <w:pStyle w:val="Normal"/>
        <w:spacing w:before="120" w:after="120"/>
        <w:ind w:left="360" w:right="0" w:hanging="0"/>
        <w:jc w:val="both"/>
        <w:rPr>
          <w:rFonts w:cs="Tahoma" w:ascii="Tahoma" w:hAnsi="Tahoma"/>
          <w:b/>
          <w:i/>
          <w:sz w:val="22"/>
          <w:szCs w:val="22"/>
        </w:rPr>
      </w:pPr>
      <w:r>
        <w:rPr>
          <w:rFonts w:cs="Tahoma" w:ascii="Tahoma" w:hAnsi="Tahoma"/>
          <w:b/>
          <w:i/>
          <w:sz w:val="22"/>
          <w:szCs w:val="22"/>
        </w:rPr>
      </w:r>
    </w:p>
    <w:p>
      <w:pPr>
        <w:pStyle w:val="Normal"/>
        <w:spacing w:before="120" w:after="120"/>
        <w:ind w:left="360" w:right="0" w:hanging="0"/>
        <w:jc w:val="both"/>
        <w:rPr>
          <w:rFonts w:cs="Tahoma" w:ascii="Tahoma" w:hAnsi="Tahoma"/>
          <w:b/>
          <w:i/>
          <w:sz w:val="22"/>
          <w:szCs w:val="22"/>
        </w:rPr>
      </w:pPr>
      <w:r>
        <w:rPr>
          <w:rFonts w:cs="Tahoma" w:ascii="Tahoma" w:hAnsi="Tahoma"/>
          <w:b/>
          <w:i/>
          <w:sz w:val="22"/>
          <w:szCs w:val="22"/>
        </w:rPr>
      </w:r>
    </w:p>
    <w:p>
      <w:pPr>
        <w:pStyle w:val="Normal"/>
        <w:spacing w:before="120" w:after="120"/>
        <w:ind w:left="360" w:right="0" w:hanging="0"/>
        <w:jc w:val="both"/>
        <w:rPr>
          <w:rFonts w:cs="Tahoma" w:ascii="Tahoma" w:hAnsi="Tahoma"/>
          <w:b/>
          <w:i/>
          <w:sz w:val="22"/>
          <w:szCs w:val="22"/>
        </w:rPr>
      </w:pPr>
      <w:r>
        <w:rPr>
          <w:rFonts w:cs="Tahoma" w:ascii="Tahoma" w:hAnsi="Tahoma"/>
          <w:b/>
          <w:i/>
          <w:sz w:val="22"/>
          <w:szCs w:val="22"/>
        </w:rPr>
        <w:t>OPPURE (se richiesto dalla stazione appaltante)</w:t>
      </w:r>
    </w:p>
    <w:p>
      <w:pPr>
        <w:pStyle w:val="Normal"/>
        <w:numPr>
          <w:ilvl w:val="0"/>
          <w:numId w:val="1"/>
        </w:numPr>
        <w:spacing w:before="120" w:after="120"/>
        <w:jc w:val="both"/>
        <w:rPr>
          <w:rFonts w:cs="Tahoma" w:ascii="Tahoma" w:hAnsi="Tahoma"/>
          <w:sz w:val="22"/>
          <w:szCs w:val="22"/>
        </w:rPr>
      </w:pPr>
      <w:r>
        <w:rPr>
          <w:rFonts w:cs="Tahoma" w:ascii="Tahoma" w:hAnsi="Tahoma"/>
          <w:sz w:val="22"/>
          <w:szCs w:val="22"/>
        </w:rPr>
        <w:t>di avere maturato un fatturato globale nel triennio precedente, per il quale sia stata presentata dichiarazione fiscalmente valida, almeno pari € _____________________ IVA esclusa, come segue:</w:t>
      </w:r>
    </w:p>
    <w:p>
      <w:pPr>
        <w:pStyle w:val="Normal"/>
        <w:spacing w:before="120" w:after="120"/>
        <w:ind w:left="360" w:right="0" w:hanging="0"/>
        <w:jc w:val="both"/>
        <w:rPr>
          <w:rFonts w:cs="Tahoma" w:ascii="Tahoma" w:hAnsi="Tahoma"/>
          <w:sz w:val="22"/>
          <w:szCs w:val="22"/>
        </w:rPr>
      </w:pPr>
      <w:r>
        <w:rPr>
          <w:rFonts w:cs="Tahoma" w:ascii="Tahoma" w:hAnsi="Tahoma"/>
          <w:sz w:val="22"/>
          <w:szCs w:val="22"/>
        </w:rPr>
      </w:r>
    </w:p>
    <w:tbl>
      <w:tblPr>
        <w:jc w:val="center"/>
        <w:tblInd w:w="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3090"/>
        <w:gridCol w:w="3107"/>
      </w:tblGrid>
      <w:tr>
        <w:trPr>
          <w:cantSplit w:val="false"/>
        </w:trPr>
        <w:tc>
          <w:tcPr>
            <w:tcW w:w="30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anno</w:t>
            </w:r>
          </w:p>
        </w:tc>
        <w:tc>
          <w:tcPr>
            <w:tcW w:w="31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Fatturato globale</w:t>
            </w:r>
          </w:p>
        </w:tc>
      </w:tr>
      <w:tr>
        <w:trPr>
          <w:cantSplit w:val="false"/>
        </w:trPr>
        <w:tc>
          <w:tcPr>
            <w:tcW w:w="30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31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30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31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30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31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309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Fatturato globale totale</w:t>
            </w:r>
          </w:p>
        </w:tc>
        <w:tc>
          <w:tcPr>
            <w:tcW w:w="310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bl>
    <w:p>
      <w:pPr>
        <w:pStyle w:val="Normal"/>
        <w:spacing w:before="120" w:after="120"/>
        <w:ind w:left="360" w:right="0" w:hanging="0"/>
        <w:jc w:val="both"/>
        <w:rPr>
          <w:rFonts w:cs="Tahoma" w:ascii="Tahoma" w:hAnsi="Tahoma"/>
          <w:sz w:val="22"/>
          <w:szCs w:val="22"/>
        </w:rPr>
      </w:pPr>
      <w:r>
        <w:rPr>
          <w:rFonts w:cs="Tahoma" w:ascii="Tahoma" w:hAnsi="Tahoma"/>
          <w:sz w:val="22"/>
          <w:szCs w:val="22"/>
        </w:rPr>
      </w:r>
    </w:p>
    <w:p>
      <w:pPr>
        <w:pStyle w:val="Normal"/>
        <w:numPr>
          <w:ilvl w:val="0"/>
          <w:numId w:val="1"/>
        </w:numPr>
        <w:spacing w:before="120" w:after="120"/>
        <w:jc w:val="both"/>
        <w:rPr>
          <w:rFonts w:cs="Tahoma" w:ascii="Tahoma" w:hAnsi="Tahoma"/>
          <w:sz w:val="22"/>
          <w:szCs w:val="22"/>
        </w:rPr>
      </w:pPr>
      <w:r>
        <w:rPr>
          <w:rFonts w:cs="Tahoma" w:ascii="Tahoma" w:hAnsi="Tahoma"/>
          <w:sz w:val="22"/>
          <w:szCs w:val="22"/>
        </w:rPr>
        <w:t>Aver eseguito negli ultimi tre anni di un elenco di servizi, come richiesto nella lettera di invito, come segue:</w:t>
      </w:r>
    </w:p>
    <w:tbl>
      <w:tblPr>
        <w:jc w:val="left"/>
        <w:tblInd w:w="10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3" w:type="dxa"/>
          <w:bottom w:w="0" w:type="dxa"/>
          <w:right w:w="108" w:type="dxa"/>
        </w:tblCellMar>
      </w:tblPr>
      <w:tblGrid>
        <w:gridCol w:w="2337"/>
        <w:gridCol w:w="2314"/>
        <w:gridCol w:w="2306"/>
        <w:gridCol w:w="2310"/>
      </w:tblGrid>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committente</w:t>
            </w:r>
          </w:p>
        </w:tc>
        <w:tc>
          <w:tcPr>
            <w:tcW w:w="23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Oggetto del contratto</w:t>
            </w:r>
          </w:p>
        </w:tc>
        <w:tc>
          <w:tcPr>
            <w:tcW w:w="230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 xml:space="preserve">Periodo </w:t>
            </w:r>
          </w:p>
        </w:tc>
        <w:tc>
          <w:tcPr>
            <w:tcW w:w="23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importo</w:t>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33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0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31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3"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bl>
    <w:p>
      <w:pPr>
        <w:pStyle w:val="Normal"/>
        <w:spacing w:before="120" w:after="120"/>
        <w:jc w:val="center"/>
        <w:rPr>
          <w:rFonts w:cs="Tahoma" w:ascii="Tahoma" w:hAnsi="Tahoma"/>
          <w:b/>
          <w:sz w:val="22"/>
          <w:szCs w:val="22"/>
        </w:rPr>
      </w:pPr>
      <w:r>
        <w:rPr>
          <w:rFonts w:cs="Tahoma" w:ascii="Tahoma" w:hAnsi="Tahoma"/>
          <w:b/>
          <w:sz w:val="22"/>
          <w:szCs w:val="22"/>
        </w:rPr>
        <w:t xml:space="preserve">DICHIARA </w:t>
      </w:r>
    </w:p>
    <w:p>
      <w:pPr>
        <w:pStyle w:val="Normal"/>
        <w:spacing w:before="120" w:after="120"/>
        <w:jc w:val="both"/>
        <w:rPr>
          <w:rFonts w:cs="Tahoma" w:ascii="Tahoma" w:hAnsi="Tahoma"/>
          <w:sz w:val="22"/>
          <w:szCs w:val="22"/>
        </w:rPr>
      </w:pPr>
      <w:r>
        <w:rPr>
          <w:rFonts w:cs="Tahoma" w:ascii="Tahoma" w:hAnsi="Tahoma"/>
          <w:sz w:val="22"/>
          <w:szCs w:val="22"/>
        </w:rPr>
        <w:t>ai sensi degli artt. 46 e 47 del D.P.R. 445/2000:</w:t>
      </w:r>
    </w:p>
    <w:p>
      <w:pPr>
        <w:pStyle w:val="Normal"/>
        <w:numPr>
          <w:ilvl w:val="0"/>
          <w:numId w:val="5"/>
        </w:numPr>
        <w:spacing w:before="120" w:after="120"/>
        <w:jc w:val="both"/>
        <w:rPr>
          <w:rFonts w:eastAsia="Arial" w:cs="Tahoma" w:ascii="Tahoma" w:hAnsi="Tahoma"/>
          <w:sz w:val="22"/>
          <w:szCs w:val="22"/>
        </w:rPr>
      </w:pPr>
      <w:r>
        <w:rPr>
          <w:rFonts w:eastAsia="Arial" w:cs="Tahoma" w:ascii="Tahoma" w:hAnsi="Tahoma"/>
          <w:sz w:val="22"/>
          <w:szCs w:val="22"/>
        </w:rPr>
        <w:t xml:space="preserve">Di non trovarsi in alcuna delle situazioni che costituiscono causa ostativa alla partecipazione alle procedure di affidamento di contratti pubblici previste </w:t>
      </w:r>
      <w:r>
        <w:rPr>
          <w:rFonts w:eastAsia="Arial" w:cs="Tahoma" w:ascii="Tahoma" w:hAnsi="Tahoma"/>
          <w:b/>
          <w:sz w:val="22"/>
          <w:szCs w:val="22"/>
        </w:rPr>
        <w:t>dall’art. 94 del D.lgs. n. 36/2023</w:t>
      </w:r>
      <w:r>
        <w:rPr>
          <w:rFonts w:eastAsia="Arial" w:cs="Tahoma" w:ascii="Tahoma" w:hAnsi="Tahoma"/>
          <w:sz w:val="22"/>
          <w:szCs w:val="22"/>
        </w:rPr>
        <w:t xml:space="preserve"> e s.m.i. e precisamente:</w:t>
      </w:r>
    </w:p>
    <w:p>
      <w:pPr>
        <w:pStyle w:val="Normal"/>
        <w:numPr>
          <w:ilvl w:val="1"/>
          <w:numId w:val="5"/>
        </w:numPr>
        <w:spacing w:before="120" w:after="120"/>
        <w:jc w:val="both"/>
        <w:rPr>
          <w:rFonts w:cs="Tahoma" w:ascii="Tahoma" w:hAnsi="Tahoma"/>
          <w:sz w:val="22"/>
          <w:szCs w:val="22"/>
        </w:rPr>
      </w:pPr>
      <w:r>
        <w:rPr>
          <w:rFonts w:cs="Tahoma" w:ascii="Tahoma" w:hAnsi="Tahoma"/>
          <w:sz w:val="22"/>
          <w:szCs w:val="22"/>
        </w:rPr>
        <w:t>Che nessuno dei soggetti di cui all’art. 94 c. 3 è stato condannato con sentenza definitiva o decreto penale di condanna divenuto irrevocabile, per uno dei reati ivi indicati. A tal fine elenca tutti i soggetti interessati:</w:t>
      </w:r>
    </w:p>
    <w:p>
      <w:pPr>
        <w:pStyle w:val="Normal"/>
        <w:spacing w:before="120" w:after="120"/>
        <w:ind w:left="792" w:right="0" w:hanging="0"/>
        <w:jc w:val="both"/>
        <w:rPr>
          <w:rFonts w:cs="Tahoma" w:ascii="Tahoma" w:hAnsi="Tahoma"/>
          <w:sz w:val="22"/>
          <w:szCs w:val="22"/>
        </w:rPr>
      </w:pPr>
      <w:r>
        <w:rPr>
          <w:rFonts w:cs="Tahoma" w:ascii="Tahoma" w:hAnsi="Tahoma"/>
          <w:sz w:val="22"/>
          <w:szCs w:val="22"/>
        </w:rPr>
      </w:r>
    </w:p>
    <w:tbl>
      <w:tblPr>
        <w:jc w:val="left"/>
        <w:tblInd w:w="421"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108" w:type="dxa"/>
          <w:bottom w:w="0" w:type="dxa"/>
          <w:right w:w="108" w:type="dxa"/>
        </w:tblCellMar>
      </w:tblPr>
      <w:tblGrid>
        <w:gridCol w:w="2834"/>
        <w:gridCol w:w="2201"/>
        <w:gridCol w:w="2185"/>
        <w:gridCol w:w="2134"/>
      </w:tblGrid>
      <w:tr>
        <w:trPr>
          <w:cantSplit w:val="false"/>
        </w:trPr>
        <w:tc>
          <w:tcPr>
            <w:tcW w:w="28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Style w:val="Richiamoallanotaapidipagina"/>
                <w:rFonts w:eastAsia="Times New Roman" w:cs="Tahoma" w:ascii="Tahoma" w:hAnsi="Tahoma"/>
                <w:sz w:val="22"/>
                <w:szCs w:val="22"/>
                <w:lang w:val="it-IT" w:eastAsia="it-IT"/>
              </w:rPr>
            </w:pPr>
            <w:r>
              <w:rPr>
                <w:rFonts w:eastAsia="Times New Roman" w:cs="Tahoma" w:ascii="Tahoma" w:hAnsi="Tahoma"/>
                <w:sz w:val="22"/>
                <w:szCs w:val="22"/>
                <w:lang w:val="it-IT" w:eastAsia="it-IT"/>
              </w:rPr>
              <w:t>nome cognome</w:t>
            </w:r>
            <w:r>
              <w:rPr>
                <w:rStyle w:val="Richiamoallanotaapidipagina"/>
                <w:rFonts w:eastAsia="Times New Roman" w:cs="Tahoma" w:ascii="Tahoma" w:hAnsi="Tahoma"/>
                <w:sz w:val="22"/>
                <w:szCs w:val="22"/>
                <w:lang w:val="it-IT" w:eastAsia="it-IT"/>
              </w:rPr>
              <w:footnoteReference w:id="2"/>
            </w:r>
          </w:p>
        </w:tc>
        <w:tc>
          <w:tcPr>
            <w:tcW w:w="22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Luogo e data di nascita</w:t>
            </w:r>
          </w:p>
        </w:tc>
        <w:tc>
          <w:tcPr>
            <w:tcW w:w="21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Residenza e C.F.</w:t>
            </w:r>
          </w:p>
        </w:tc>
        <w:tc>
          <w:tcPr>
            <w:tcW w:w="21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ahoma" w:ascii="Tahoma" w:hAnsi="Tahoma"/>
                <w:sz w:val="22"/>
                <w:szCs w:val="22"/>
                <w:lang w:val="it-IT" w:eastAsia="it-IT"/>
              </w:rPr>
            </w:pPr>
            <w:r>
              <w:rPr>
                <w:rFonts w:eastAsia="Times New Roman" w:cs="Tahoma" w:ascii="Tahoma" w:hAnsi="Tahoma"/>
                <w:sz w:val="22"/>
                <w:szCs w:val="22"/>
                <w:lang w:val="it-IT" w:eastAsia="it-IT"/>
              </w:rPr>
              <w:t>Carica rivestita</w:t>
            </w:r>
          </w:p>
        </w:tc>
      </w:tr>
      <w:tr>
        <w:trPr>
          <w:cantSplit w:val="false"/>
        </w:trPr>
        <w:tc>
          <w:tcPr>
            <w:tcW w:w="28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2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8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2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8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2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8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2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8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2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r>
        <w:trPr>
          <w:cantSplit w:val="false"/>
        </w:trPr>
        <w:tc>
          <w:tcPr>
            <w:tcW w:w="28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20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8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c>
          <w:tcPr>
            <w:tcW w:w="213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auto" w:val="clear"/>
            <w:tcMar>
              <w:left w:w="108" w:type="dxa"/>
            </w:tcMar>
          </w:tcPr>
          <w:p>
            <w:pPr>
              <w:pStyle w:val="Normal"/>
              <w:spacing w:before="120" w:after="0"/>
              <w:jc w:val="both"/>
              <w:rPr>
                <w:rFonts w:eastAsia="Times New Roman" w:cs="Times New Roman" w:ascii="Times New Roman" w:hAnsi="Times New Roman"/>
                <w:sz w:val="22"/>
                <w:szCs w:val="20"/>
                <w:lang w:val="it-IT" w:eastAsia="it-IT"/>
              </w:rPr>
            </w:pPr>
            <w:r>
              <w:rPr>
                <w:rFonts w:eastAsia="Times New Roman" w:cs="Times New Roman" w:ascii="Times New Roman" w:hAnsi="Times New Roman"/>
                <w:sz w:val="22"/>
                <w:szCs w:val="20"/>
                <w:lang w:val="it-IT" w:eastAsia="it-IT"/>
              </w:rPr>
            </w:r>
          </w:p>
        </w:tc>
      </w:tr>
    </w:tbl>
    <w:p>
      <w:pPr>
        <w:pStyle w:val="Normal"/>
        <w:spacing w:before="120" w:after="120"/>
        <w:ind w:left="792" w:right="0" w:hanging="0"/>
        <w:jc w:val="both"/>
        <w:rPr>
          <w:rFonts w:cs="Tahoma" w:ascii="Tahoma" w:hAnsi="Tahoma"/>
          <w:sz w:val="22"/>
          <w:szCs w:val="22"/>
        </w:rPr>
      </w:pPr>
      <w:r>
        <w:rPr>
          <w:rFonts w:cs="Tahoma" w:ascii="Tahoma" w:hAnsi="Tahoma"/>
          <w:sz w:val="22"/>
          <w:szCs w:val="22"/>
        </w:rPr>
      </w:r>
    </w:p>
    <w:p>
      <w:pPr>
        <w:pStyle w:val="Normal"/>
        <w:numPr>
          <w:ilvl w:val="1"/>
          <w:numId w:val="5"/>
        </w:numPr>
        <w:spacing w:before="120" w:after="120"/>
        <w:jc w:val="both"/>
        <w:rPr>
          <w:rFonts w:cs="Tahoma" w:ascii="Tahoma" w:hAnsi="Tahoma"/>
          <w:sz w:val="22"/>
          <w:szCs w:val="22"/>
        </w:rPr>
      </w:pPr>
      <w:r>
        <w:rPr>
          <w:rFonts w:cs="Tahoma" w:ascii="Tahoma" w:hAnsi="Tahoma"/>
          <w:sz w:val="22"/>
          <w:szCs w:val="22"/>
        </w:rPr>
        <w:t xml:space="preserve">Di non incorrere in una causa di esclusione di cui all’art. 94 c. 2, e precisamente, con riferimento ai soggetti indicati al comma 3 e soprarichiamati, dichiara l’inesistenza di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(ai sensi dell’art. 94 c. 5 lett. a)</w:t>
      </w:r>
      <w:r>
        <w:rPr>
          <w:rFonts w:cs="Tahoma" w:ascii="Tahoma" w:hAnsi="Tahoma"/>
          <w:sz w:val="22"/>
          <w:szCs w:val="22"/>
        </w:rPr>
        <w:t xml:space="preserve"> Di non essere incorso nella sanzione interdittiva di cui all'articolo 9, comma 2, lettera c), del decreto legislativo 8 giugno 2001, n. 231, o di altra sanzione che comporta il divieto di contrarre con la pubblica amministrazione, compresi i provvedimenti interdittivi di cui all'articolo 14 del decreto legislativo 9 aprile 2008, n. 81; </w:t>
      </w:r>
    </w:p>
    <w:p>
      <w:pPr>
        <w:pStyle w:val="Normal"/>
        <w:numPr>
          <w:ilvl w:val="1"/>
          <w:numId w:val="5"/>
        </w:numPr>
        <w:spacing w:before="120" w:after="120"/>
        <w:jc w:val="both"/>
        <w:rPr>
          <w:rFonts w:cs="Tahoma" w:ascii="Tahoma" w:hAnsi="Tahoma"/>
          <w:i/>
          <w:sz w:val="22"/>
          <w:szCs w:val="22"/>
        </w:rPr>
      </w:pPr>
      <w:r>
        <w:rPr>
          <w:rFonts w:cs="Tahoma" w:ascii="Tahoma" w:hAnsi="Tahoma"/>
          <w:i/>
          <w:sz w:val="22"/>
          <w:szCs w:val="22"/>
        </w:rPr>
        <w:t xml:space="preserve"> </w:t>
      </w:r>
      <w:r>
        <w:rPr>
          <w:rFonts w:cs="Tahoma" w:ascii="Tahoma" w:hAnsi="Tahoma"/>
          <w:i/>
          <w:sz w:val="22"/>
          <w:szCs w:val="22"/>
        </w:rPr>
        <w:t xml:space="preserve">(ai sensi dell’art. 94 c. 5 lett. b) </w:t>
      </w:r>
    </w:p>
    <w:p>
      <w:pPr>
        <w:pStyle w:val="Normal"/>
        <w:spacing w:before="120" w:after="120"/>
        <w:ind w:left="1134" w:right="0" w:hanging="0"/>
        <w:jc w:val="both"/>
        <w:rPr>
          <w:rFonts w:cs="Tahoma" w:ascii="Tahoma" w:hAnsi="Tahoma"/>
          <w:b/>
          <w:sz w:val="22"/>
          <w:szCs w:val="22"/>
        </w:rPr>
      </w:pPr>
      <w:r>
        <w:rPr>
          <w:rFonts w:cs="Tahoma" w:ascii="Tahoma" w:hAnsi="Tahoma"/>
          <w:sz w:val="22"/>
          <w:szCs w:val="22"/>
        </w:rPr>
        <w:t xml:space="preserve"> </w:t>
        <w:pict>
          <v:rect id="shape_0" fillcolor="white" stroked="t" style="position:absolute;margin-left:44.55pt;margin-top:6.75pt;width:13.45pt;height:11.95pt">
            <v:wrap v:type="none"/>
            <v:fill type="solid" color2="black" detectmouseclick="t"/>
            <v:stroke color="black" joinstyle="round" endcap="flat"/>
          </v:rect>
        </w:pict>
      </w:r>
      <w:r>
        <w:rPr>
          <w:rFonts w:cs="Tahoma" w:ascii="Tahoma" w:hAnsi="Tahoma"/>
          <w:sz w:val="22"/>
          <w:szCs w:val="22"/>
        </w:rPr>
        <w:t xml:space="preserve">di aver adempiuto agli obblighi di cui all'articolo 17 della legge 12 marzo 1999, n. 68 </w:t>
      </w:r>
      <w:r>
        <w:rPr>
          <w:rFonts w:cs="Tahoma" w:ascii="Tahoma" w:hAnsi="Tahoma"/>
          <w:b/>
          <w:sz w:val="22"/>
          <w:szCs w:val="22"/>
        </w:rPr>
        <w:t>OPPURE</w:t>
      </w:r>
    </w:p>
    <w:p>
      <w:pPr>
        <w:pStyle w:val="Normal"/>
        <w:spacing w:before="120" w:after="120"/>
        <w:ind w:left="792" w:right="0" w:hanging="0"/>
        <w:jc w:val="both"/>
        <w:rPr>
          <w:rFonts w:cs="Tahoma" w:ascii="Tahoma" w:hAnsi="Tahoma"/>
          <w:sz w:val="22"/>
          <w:szCs w:val="22"/>
        </w:rPr>
      </w:pPr>
      <w:r>
        <w:rPr>
          <w:rFonts w:cs="Tahoma" w:ascii="Tahoma" w:hAnsi="Tahoma"/>
          <w:sz w:val="22"/>
          <w:szCs w:val="22"/>
        </w:rPr>
        <w:t xml:space="preserve"> </w:t>
        <w:pict>
          <v:rect id="shape_0" fillcolor="white" stroked="t" style="position:absolute;margin-left:43.8pt;margin-top:7.5pt;width:13.45pt;height:11.95pt">
            <v:wrap v:type="none"/>
            <v:fill type="solid" color2="black" detectmouseclick="t"/>
            <v:stroke color="black" joinstyle="round" endcap="flat"/>
          </v:rect>
        </w:pict>
      </w:r>
      <w:r>
        <w:rPr>
          <w:rFonts w:cs="Tahoma" w:ascii="Tahoma" w:hAnsi="Tahoma"/>
          <w:sz w:val="22"/>
          <w:szCs w:val="22"/>
        </w:rPr>
        <w:t xml:space="preserve">di non essere soggetto gli obblighi di cui all'articolo 17 della legge 12 marzo 1999, n. 68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 </w:t>
      </w:r>
      <w:r>
        <w:rPr>
          <w:rFonts w:cs="Tahoma" w:ascii="Tahoma" w:hAnsi="Tahoma"/>
          <w:i/>
          <w:sz w:val="22"/>
          <w:szCs w:val="22"/>
        </w:rPr>
        <w:t>(ai sensi dell’art. 94 c. 5 lett. d)</w:t>
      </w:r>
      <w:r>
        <w:rPr>
          <w:rFonts w:cs="Tahoma" w:ascii="Tahoma" w:hAnsi="Tahoma"/>
          <w:sz w:val="22"/>
          <w:szCs w:val="22"/>
        </w:rPr>
        <w:t xml:space="preserve"> di non essere sottoposto a liquidazione giudiziale, di non trovarsi in stato di liquidazione coatta o di concordato preventivo né che sia in corso un procedimento per l'accesso a una di tali procedure, fermo restando quanto previsto dall'articolo 95 del codice della crisi di impresa e dell'insolvenza, di cui al decreto legislativo 12 gennaio 2019, n. 14, dall'articolo 186-bis, comma 5, del regio decreto 16 marzo 1942, n. 267 e dall'articolo 124 del presente codice.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 </w:t>
      </w:r>
      <w:r>
        <w:rPr>
          <w:rFonts w:cs="Tahoma" w:ascii="Tahoma" w:hAnsi="Tahoma"/>
          <w:i/>
          <w:sz w:val="22"/>
          <w:szCs w:val="22"/>
        </w:rPr>
        <w:t>(ai sensi dell’art. 94 c. 5 lett. e)</w:t>
      </w:r>
      <w:r>
        <w:rPr>
          <w:rFonts w:cs="Tahoma" w:ascii="Tahoma" w:hAnsi="Tahoma"/>
          <w:sz w:val="22"/>
          <w:szCs w:val="22"/>
        </w:rPr>
        <w:t xml:space="preserve"> che nel proprio casellario informatico tenuto dall'ANAC non risultano false dichiarazioni o falsa documentazione nelle procedure di gara e negli affidamenti di subappalti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(ai sensi dell’art. 94 c. 5 lett. f)</w:t>
      </w:r>
      <w:r>
        <w:rPr>
          <w:rFonts w:cs="Tahoma" w:ascii="Tahoma" w:hAnsi="Tahoma"/>
          <w:sz w:val="22"/>
          <w:szCs w:val="22"/>
        </w:rPr>
        <w:t xml:space="preserve"> che nel proprio casellario informatico non risulta aver presentato false dichiarazioni o falsa documentazione ai fini del rilascio dell'attestazione di qualificazione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94 c. 6) </w:t>
      </w:r>
      <w:r>
        <w:rPr>
          <w:rFonts w:cs="Tahoma" w:ascii="Tahoma" w:hAnsi="Tahoma"/>
          <w:sz w:val="22"/>
          <w:szCs w:val="22"/>
        </w:rPr>
        <w:t>Di non aver commesso violazioni gravi, definitivamente accertate, degli obblighi relativi al pagamento delle imposte e tasse, secondo la legislazione italiana o quella dello Stato in cui sono stabiliti. (</w:t>
      </w:r>
      <w:r>
        <w:rPr>
          <w:rFonts w:cs="Tahoma" w:ascii="Tahoma" w:hAnsi="Tahoma"/>
          <w:i/>
          <w:sz w:val="22"/>
          <w:szCs w:val="22"/>
        </w:rPr>
        <w:t>Costituiscono gravi violazioni definitivamente accertate quelle indicate nell'allegato II.10 del D.Lgs. 36/2023</w:t>
      </w:r>
      <w:r>
        <w:rPr>
          <w:rFonts w:cs="Tahoma" w:ascii="Tahoma" w:hAnsi="Tahoma"/>
          <w:sz w:val="22"/>
          <w:szCs w:val="22"/>
        </w:rPr>
        <w:t xml:space="preserve">)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94 c. 6) </w:t>
      </w:r>
      <w:r>
        <w:rPr>
          <w:rFonts w:cs="Tahoma" w:ascii="Tahoma" w:hAnsi="Tahoma"/>
          <w:sz w:val="22"/>
          <w:szCs w:val="22"/>
        </w:rPr>
        <w:t>Di non aver commesso violazioni gravi, definitivamente accertate, degli obblighi relativi al pagamento dei contributi previdenziali, secondo la legislazione italiana o quella dello Stato in cui sono stabiliti. (</w:t>
      </w:r>
      <w:r>
        <w:rPr>
          <w:rFonts w:cs="Tahoma" w:ascii="Tahoma" w:hAnsi="Tahoma"/>
          <w:i/>
          <w:sz w:val="22"/>
          <w:szCs w:val="22"/>
        </w:rPr>
        <w:t>Costituiscono gravi violazioni definitivamente accertate quelle indicate nell'allegato II.10 del D.Lgs. 36/2023</w:t>
      </w:r>
      <w:r>
        <w:rPr>
          <w:rFonts w:cs="Tahoma" w:ascii="Tahoma" w:hAnsi="Tahoma"/>
          <w:sz w:val="22"/>
          <w:szCs w:val="22"/>
        </w:rPr>
        <w:t xml:space="preserve">) </w:t>
      </w:r>
    </w:p>
    <w:p>
      <w:pPr>
        <w:pStyle w:val="Normal"/>
        <w:spacing w:before="120" w:after="120"/>
        <w:ind w:left="792" w:right="0" w:hanging="0"/>
        <w:jc w:val="both"/>
        <w:rPr>
          <w:rFonts w:cs="Tahoma" w:ascii="Tahoma" w:hAnsi="Tahoma"/>
          <w:sz w:val="22"/>
          <w:szCs w:val="22"/>
        </w:rPr>
      </w:pPr>
      <w:r>
        <w:rPr>
          <w:rFonts w:cs="Tahoma" w:ascii="Tahoma" w:hAnsi="Tahoma"/>
          <w:sz w:val="22"/>
          <w:szCs w:val="22"/>
        </w:rPr>
      </w:r>
    </w:p>
    <w:p>
      <w:pPr>
        <w:pStyle w:val="Normal"/>
        <w:numPr>
          <w:ilvl w:val="0"/>
          <w:numId w:val="5"/>
        </w:numPr>
        <w:spacing w:before="120" w:after="120"/>
        <w:jc w:val="both"/>
        <w:rPr>
          <w:rFonts w:eastAsia="Arial" w:cs="Tahoma" w:ascii="Tahoma" w:hAnsi="Tahoma"/>
          <w:sz w:val="22"/>
          <w:szCs w:val="22"/>
        </w:rPr>
      </w:pPr>
      <w:r>
        <w:rPr>
          <w:rFonts w:eastAsia="Arial" w:cs="Tahoma" w:ascii="Tahoma" w:hAnsi="Tahoma"/>
          <w:sz w:val="22"/>
          <w:szCs w:val="22"/>
        </w:rPr>
        <w:t xml:space="preserve">Di non trovarsi in alcuna delle situazioni che costituiscono causa ostativa alla partecipazione alle procedure di affidamento di contratti pubblici previste </w:t>
      </w:r>
      <w:r>
        <w:rPr>
          <w:rFonts w:eastAsia="Arial" w:cs="Tahoma" w:ascii="Tahoma" w:hAnsi="Tahoma"/>
          <w:b/>
          <w:sz w:val="22"/>
          <w:szCs w:val="22"/>
        </w:rPr>
        <w:t>dall’art. 95 del D.lgs. n. 36/2023</w:t>
      </w:r>
      <w:r>
        <w:rPr>
          <w:rFonts w:eastAsia="Arial" w:cs="Tahoma" w:ascii="Tahoma" w:hAnsi="Tahoma"/>
          <w:sz w:val="22"/>
          <w:szCs w:val="22"/>
        </w:rPr>
        <w:t xml:space="preserve"> e s.m.i. e precisamente:</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95 c. 1 lett. a) </w:t>
      </w:r>
      <w:r>
        <w:rPr>
          <w:rFonts w:cs="Tahoma" w:ascii="Tahoma" w:hAnsi="Tahoma"/>
          <w:sz w:val="22"/>
          <w:szCs w:val="22"/>
        </w:rPr>
        <w:t xml:space="preserve">di non aver commesso gravi infrazioni, debitamente accertate con qualunque mezzo adeguato, alle norme in materia di salute e di sicurezza sul lavoro nonche' agli obblighi in materia ambientale, sociale e del lavoro stabiliti dalla normativa europea e nazionale, dai contratti collettivi o dalle disposizioni internazionali elencate nell'allegato X alla direttiva 2014/24/UE del Parlamento europeo e del Consiglio del 26 febbraio 2014;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 </w:t>
      </w:r>
      <w:r>
        <w:rPr>
          <w:rFonts w:cs="Tahoma" w:ascii="Tahoma" w:hAnsi="Tahoma"/>
          <w:i/>
          <w:sz w:val="22"/>
          <w:szCs w:val="22"/>
        </w:rPr>
        <w:t xml:space="preserve">(ai sensi dell’art. 95 c. 1 lett. b) </w:t>
      </w:r>
      <w:r>
        <w:rPr>
          <w:rFonts w:cs="Tahoma" w:ascii="Tahoma" w:hAnsi="Tahoma"/>
          <w:sz w:val="22"/>
          <w:szCs w:val="22"/>
        </w:rPr>
        <w:t xml:space="preserve">che la partecipazione dell'operatore economico alla presente procedura non determina una situazione di conflitto di interesse di cui all'articolo 16 non diversamente risolvibile;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95 c. 1 lett. c) </w:t>
      </w:r>
      <w:r>
        <w:rPr>
          <w:rFonts w:cs="Tahoma" w:ascii="Tahoma" w:hAnsi="Tahoma"/>
          <w:sz w:val="22"/>
          <w:szCs w:val="22"/>
        </w:rPr>
        <w:t xml:space="preserve">che non sussiste una distorsione della concorrenza derivante dal precedente coinvolgimento del sottoscritto nella preparazione della procedura d'appalto che non possa essere risolta con misure meno intrusive;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(ai sensi dell’art. 95 c. 1 lett. e)</w:t>
      </w:r>
      <w:r>
        <w:rPr>
          <w:rFonts w:cs="Tahoma" w:ascii="Tahoma" w:hAnsi="Tahoma"/>
          <w:sz w:val="22"/>
          <w:szCs w:val="22"/>
        </w:rPr>
        <w:t xml:space="preserve"> che l'offerente abbia commesso un illecito professionale grave e si rinvia alla successiva dichiarazione di cui al punto 3, che segue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95 c. 2) </w:t>
      </w:r>
      <w:r>
        <w:rPr>
          <w:rFonts w:cs="Tahoma" w:ascii="Tahoma" w:hAnsi="Tahoma"/>
          <w:sz w:val="22"/>
          <w:szCs w:val="22"/>
        </w:rPr>
        <w:t xml:space="preserve">Di non aver commesso violazioni gravi, </w:t>
      </w:r>
      <w:r>
        <w:rPr>
          <w:rFonts w:cs="Tahoma" w:ascii="Tahoma" w:hAnsi="Tahoma"/>
          <w:b/>
          <w:sz w:val="22"/>
          <w:szCs w:val="22"/>
        </w:rPr>
        <w:t>non</w:t>
      </w:r>
      <w:r>
        <w:rPr>
          <w:rFonts w:cs="Tahoma" w:ascii="Tahoma" w:hAnsi="Tahoma"/>
          <w:sz w:val="22"/>
          <w:szCs w:val="22"/>
        </w:rPr>
        <w:t xml:space="preserve"> definitivamente accertate, degli obblighi relativi al pagamento di imposte e tasse e di contributi previdenziali, secondo la legislazione italiana o quella dello Stato in cui sono stabiliti. (</w:t>
      </w:r>
      <w:r>
        <w:rPr>
          <w:rFonts w:cs="Tahoma" w:ascii="Tahoma" w:hAnsi="Tahoma"/>
          <w:i/>
          <w:sz w:val="22"/>
          <w:szCs w:val="22"/>
        </w:rPr>
        <w:t>Costituiscono gravi violazioni non definitivamente accertate quelle indicate nell'allegato II.10 del D.Lgs. 36/2023</w:t>
      </w:r>
      <w:r>
        <w:rPr>
          <w:rFonts w:cs="Tahoma" w:ascii="Tahoma" w:hAnsi="Tahoma"/>
          <w:sz w:val="22"/>
          <w:szCs w:val="22"/>
        </w:rPr>
        <w:t>)</w:t>
      </w:r>
      <w:r>
        <w:rPr>
          <w:rStyle w:val="Richiamoallanotaapidipagina"/>
          <w:rFonts w:cs="Tahoma" w:ascii="Tahoma" w:hAnsi="Tahoma"/>
          <w:sz w:val="22"/>
          <w:szCs w:val="22"/>
        </w:rPr>
        <w:footnoteReference w:id="3"/>
      </w:r>
      <w:r>
        <w:rPr>
          <w:rFonts w:cs="Tahoma" w:ascii="Tahoma" w:hAnsi="Tahoma"/>
          <w:sz w:val="22"/>
          <w:szCs w:val="22"/>
        </w:rPr>
        <w:t xml:space="preserve"> </w:t>
      </w:r>
    </w:p>
    <w:p>
      <w:pPr>
        <w:pStyle w:val="Normal"/>
        <w:spacing w:before="120" w:after="120"/>
        <w:ind w:left="792" w:right="0" w:hanging="0"/>
        <w:jc w:val="both"/>
        <w:rPr>
          <w:rFonts w:cs="Tahoma" w:ascii="Tahoma" w:hAnsi="Tahoma"/>
          <w:sz w:val="22"/>
          <w:szCs w:val="22"/>
        </w:rPr>
      </w:pPr>
      <w:r>
        <w:rPr>
          <w:rFonts w:cs="Tahoma" w:ascii="Tahoma" w:hAnsi="Tahoma"/>
          <w:sz w:val="22"/>
          <w:szCs w:val="22"/>
        </w:rPr>
      </w:r>
    </w:p>
    <w:p>
      <w:pPr>
        <w:pStyle w:val="Normal"/>
        <w:numPr>
          <w:ilvl w:val="0"/>
          <w:numId w:val="5"/>
        </w:numPr>
        <w:spacing w:before="120" w:after="120"/>
        <w:jc w:val="both"/>
        <w:rPr>
          <w:rFonts w:eastAsia="Arial" w:cs="Tahoma" w:ascii="Tahoma" w:hAnsi="Tahoma"/>
          <w:sz w:val="22"/>
          <w:szCs w:val="22"/>
        </w:rPr>
      </w:pPr>
      <w:r>
        <w:rPr>
          <w:rFonts w:eastAsia="Arial" w:cs="Tahoma" w:ascii="Tahoma" w:hAnsi="Tahoma"/>
          <w:sz w:val="22"/>
          <w:szCs w:val="22"/>
        </w:rPr>
        <w:t xml:space="preserve">Di non </w:t>
      </w:r>
      <w:r>
        <w:rPr>
          <w:rFonts w:cs="Tahoma" w:ascii="Tahoma" w:hAnsi="Tahoma"/>
          <w:sz w:val="22"/>
          <w:szCs w:val="22"/>
        </w:rPr>
        <w:t xml:space="preserve">commesso un illecito professionale grave, tale da rendere dubbia la sua integrità o affidabilità, ai sensi </w:t>
      </w:r>
      <w:r>
        <w:rPr>
          <w:rFonts w:eastAsia="Arial" w:cs="Tahoma" w:ascii="Tahoma" w:hAnsi="Tahoma"/>
          <w:sz w:val="22"/>
          <w:szCs w:val="22"/>
        </w:rPr>
        <w:t xml:space="preserve">indicato </w:t>
      </w:r>
      <w:r>
        <w:rPr>
          <w:rFonts w:eastAsia="Arial" w:cs="Tahoma" w:ascii="Tahoma" w:hAnsi="Tahoma"/>
          <w:b/>
          <w:sz w:val="22"/>
          <w:szCs w:val="22"/>
        </w:rPr>
        <w:t>dall’art. 98 del D.lgs. n. 36/2023</w:t>
      </w:r>
      <w:r>
        <w:rPr>
          <w:rFonts w:eastAsia="Arial" w:cs="Tahoma" w:ascii="Tahoma" w:hAnsi="Tahoma"/>
          <w:sz w:val="22"/>
          <w:szCs w:val="22"/>
        </w:rPr>
        <w:t xml:space="preserve"> e s.m.i. e precisamente:</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98 c. 3 lett a) </w:t>
      </w:r>
      <w:r>
        <w:rPr>
          <w:rFonts w:cs="Tahoma" w:ascii="Tahoma" w:hAnsi="Tahoma"/>
          <w:sz w:val="22"/>
          <w:szCs w:val="22"/>
        </w:rPr>
        <w:t>di non essere risultato destinatario di alcuna sanzione esecutiva irrogata dall'Autorità garante della concorrenza e del mercato o da altra autorità</w:t>
      </w:r>
      <w:bookmarkStart w:id="0" w:name="_GoBack"/>
      <w:bookmarkEnd w:id="0"/>
      <w:r>
        <w:rPr>
          <w:rFonts w:cs="Tahoma" w:ascii="Tahoma" w:hAnsi="Tahoma"/>
          <w:sz w:val="22"/>
          <w:szCs w:val="22"/>
        </w:rPr>
        <w:t xml:space="preserve"> di settore, rilevante in relazione all'oggetto specifico dell'appalto;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(ai sensi dell’art. 98 c. 3 lett b)</w:t>
      </w:r>
      <w:r>
        <w:rPr>
          <w:rFonts w:cs="Tahoma" w:ascii="Tahoma" w:hAnsi="Tahoma"/>
          <w:sz w:val="22"/>
          <w:szCs w:val="22"/>
        </w:rPr>
        <w:t xml:space="preserve"> di non aver tentato di influenzare indebitamente il processo decisionale della stazione appaltante o di ottenere informazioni riservate a proprio vantaggio né di aver fornito, anche per negligenza, informazioni false o fuorvianti suscettibili di influenzare le decisioni sull'esclusione, la selezione o l'aggiudicazione; </w:t>
      </w:r>
    </w:p>
    <w:p>
      <w:pPr>
        <w:pStyle w:val="Normal"/>
        <w:numPr>
          <w:ilvl w:val="1"/>
          <w:numId w:val="5"/>
        </w:numPr>
        <w:spacing w:before="120" w:after="120"/>
        <w:jc w:val="both"/>
        <w:rPr>
          <w:rFonts w:cs="Tahoma" w:ascii="Tahoma" w:hAnsi="Tahoma"/>
          <w:i/>
          <w:sz w:val="22"/>
          <w:szCs w:val="22"/>
        </w:rPr>
      </w:pPr>
      <w:r>
        <w:rPr>
          <w:rFonts w:cs="Tahoma" w:ascii="Tahoma" w:hAnsi="Tahoma"/>
          <w:i/>
          <w:sz w:val="22"/>
          <w:szCs w:val="22"/>
        </w:rPr>
        <w:t>(ai sensi dell’art. 98 c. 3 lett c)</w:t>
      </w:r>
    </w:p>
    <w:p>
      <w:pPr>
        <w:pStyle w:val="Normal"/>
        <w:spacing w:before="120" w:after="120"/>
        <w:ind w:left="792" w:right="0" w:hanging="0"/>
        <w:jc w:val="both"/>
        <w:rPr>
          <w:rFonts w:cs="Tahoma" w:ascii="Tahoma" w:hAnsi="Tahoma"/>
          <w:sz w:val="22"/>
          <w:szCs w:val="22"/>
        </w:rPr>
      </w:pPr>
      <w:r>
        <w:rPr>
          <w:rFonts w:cs="Tahoma" w:ascii="Tahoma" w:hAnsi="Tahoma"/>
          <w:sz w:val="22"/>
          <w:szCs w:val="22"/>
        </w:rPr>
        <w:t xml:space="preserve"> </w:t>
        <w:pict>
          <v:rect id="shape_0" fillcolor="white" stroked="t" style="position:absolute;margin-left:41.9pt;margin-top:2.95pt;width:13.45pt;height:11.95pt">
            <v:wrap v:type="none"/>
            <v:fill type="solid" color2="black" detectmouseclick="t"/>
            <v:stroke color="black" joinstyle="round" endcap="flat"/>
          </v:rect>
        </w:pict>
      </w:r>
      <w:r>
        <w:rPr>
          <w:rFonts w:cs="Tahoma" w:ascii="Tahoma" w:hAnsi="Tahoma"/>
          <w:sz w:val="22"/>
          <w:szCs w:val="22"/>
        </w:rPr>
        <w:t xml:space="preserve">di non aver dimostrato significative o persistenti carenze nell'esecuzione di un precedente contratto di appalto o di concessione che ne hanno causato la risoluzione per inadempimento oppure la condanna al risarcimento del danno o altre sanzioni comparabili, derivanti da inadempienze particolarmente gravi o la cui ripetizione sia indice di una persistente carenza professionale; </w:t>
      </w:r>
    </w:p>
    <w:p>
      <w:pPr>
        <w:pStyle w:val="Normal"/>
        <w:spacing w:before="120" w:after="120"/>
        <w:ind w:left="792" w:right="0" w:hanging="0"/>
        <w:jc w:val="both"/>
        <w:rPr>
          <w:rFonts w:cs="Tahoma" w:ascii="Tahoma" w:hAnsi="Tahoma"/>
          <w:b/>
          <w:sz w:val="22"/>
          <w:szCs w:val="22"/>
        </w:rPr>
      </w:pPr>
      <w:r>
        <w:rPr>
          <w:rFonts w:cs="Tahoma" w:ascii="Tahoma" w:hAnsi="Tahoma"/>
          <w:b/>
          <w:sz w:val="22"/>
          <w:szCs w:val="22"/>
        </w:rPr>
        <w:t>OPPURE</w:t>
      </w:r>
    </w:p>
    <w:p>
      <w:pPr>
        <w:pStyle w:val="Normal"/>
        <w:spacing w:before="120" w:after="120"/>
        <w:ind w:left="810" w:right="0" w:firstLine="608"/>
        <w:jc w:val="both"/>
        <w:rPr>
          <w:rFonts w:cs="Tahoma" w:ascii="Tahoma" w:hAnsi="Tahoma"/>
          <w:sz w:val="22"/>
          <w:szCs w:val="22"/>
        </w:rPr>
      </w:pPr>
      <w:r>
        <w:rPr>
          <w:rFonts w:cs="Tahoma" w:ascii="Tahoma" w:hAnsi="Tahoma"/>
          <w:sz w:val="22"/>
          <w:szCs w:val="22"/>
        </w:rPr>
        <w:t>di aver subito le seguenti risoluzioni contrattuali per inadempimento nell’ultimo triennio: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pict>
          <v:rect id="shape_0" fillcolor="white" stroked="t" style="position:absolute;margin-left:37.5pt;margin-top:6.7pt;width:13.45pt;height:11.95pt">
            <v:wrap v:type="none"/>
            <v:fill type="solid" color2="black" detectmouseclick="t"/>
            <v:stroke color="black" joinstyle="round" endcap="flat"/>
          </v:rect>
        </w:pict>
      </w:r>
    </w:p>
    <w:p>
      <w:pPr>
        <w:pStyle w:val="Normal"/>
        <w:spacing w:before="120" w:after="120"/>
        <w:ind w:left="792" w:right="0" w:hanging="0"/>
        <w:jc w:val="both"/>
        <w:rPr>
          <w:rFonts w:cs="Tahoma" w:ascii="Tahoma" w:hAnsi="Tahoma"/>
          <w:sz w:val="22"/>
          <w:szCs w:val="22"/>
        </w:rPr>
      </w:pPr>
      <w:r>
        <w:rPr>
          <w:rFonts w:cs="Tahoma" w:ascii="Tahoma" w:hAnsi="Tahoma"/>
          <w:sz w:val="22"/>
          <w:szCs w:val="22"/>
        </w:rPr>
        <w:t>e di aver adottato le seguenti misure di self cleaning: ________________________________</w:t>
      </w:r>
    </w:p>
    <w:p>
      <w:pPr>
        <w:pStyle w:val="Normal"/>
        <w:spacing w:before="120" w:after="120"/>
        <w:ind w:left="792" w:right="0" w:hanging="0"/>
        <w:jc w:val="both"/>
        <w:rPr>
          <w:rFonts w:cs="Tahoma" w:ascii="Tahoma" w:hAnsi="Tahoma"/>
          <w:sz w:val="22"/>
          <w:szCs w:val="22"/>
        </w:rPr>
      </w:pPr>
      <w:r>
        <w:rPr>
          <w:rFonts w:cs="Tahoma" w:ascii="Tahoma" w:hAnsi="Tahoma"/>
          <w:sz w:val="22"/>
          <w:szCs w:val="22"/>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w:t>
      </w:r>
    </w:p>
    <w:p>
      <w:pPr>
        <w:pStyle w:val="Normal"/>
        <w:spacing w:before="120" w:after="120"/>
        <w:ind w:left="792" w:right="0" w:hanging="0"/>
        <w:jc w:val="both"/>
        <w:rPr>
          <w:rFonts w:cs="Tahoma" w:ascii="Tahoma" w:hAnsi="Tahoma"/>
          <w:i/>
          <w:sz w:val="22"/>
          <w:szCs w:val="22"/>
        </w:rPr>
      </w:pPr>
      <w:r>
        <w:rPr>
          <w:rFonts w:cs="Tahoma" w:ascii="Tahoma" w:hAnsi="Tahoma"/>
          <w:i/>
          <w:sz w:val="22"/>
          <w:szCs w:val="22"/>
        </w:rPr>
        <w:t>(descrivere nel dettaglio, allegando ogni documentazione/dichiarazione ritenuta idonea, se on presente nel proprio FVOE 2.0)</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98 c. 3 lett d) </w:t>
      </w:r>
      <w:r>
        <w:rPr>
          <w:rFonts w:cs="Tahoma" w:ascii="Tahoma" w:hAnsi="Tahoma"/>
          <w:sz w:val="22"/>
          <w:szCs w:val="22"/>
        </w:rPr>
        <w:t xml:space="preserve">di non aver commesso grave inadempimento nei confronti di uno o piu' subappaltatori, nell’ultimo triennio;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98 c. 3 lett e) </w:t>
      </w:r>
      <w:r>
        <w:rPr>
          <w:rFonts w:cs="Tahoma" w:ascii="Tahoma" w:hAnsi="Tahoma"/>
          <w:sz w:val="22"/>
          <w:szCs w:val="22"/>
        </w:rPr>
        <w:t xml:space="preserve">di non aver violato il divieto di intestazione fiduciaria di cui all'articolo 17 della legge 19 marzo 1990, n. 55, laddove la violazione non sia stata rimossa;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98 c. 3 lett f) </w:t>
      </w:r>
      <w:r>
        <w:rPr>
          <w:rFonts w:cs="Tahoma" w:ascii="Tahoma" w:hAnsi="Tahoma"/>
          <w:sz w:val="22"/>
          <w:szCs w:val="22"/>
        </w:rPr>
        <w:t xml:space="preserve">di non aver omesso denuncia all'autorita' giudiziaria in quanto persona offesa dei reati previsti e puniti dagli articoli 317 e 629 del codice penale aggravati ai sensi dell'articolo 416-bis.1 del medesimo codice salvo che ricorrano i casi previsti dall'articolo 4, primo comma, della legge 24 novembre 1981, n. 689.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98 c. 3 lett g) </w:t>
      </w:r>
      <w:r>
        <w:rPr>
          <w:rFonts w:cs="Tahoma" w:ascii="Tahoma" w:hAnsi="Tahoma"/>
          <w:sz w:val="22"/>
          <w:szCs w:val="22"/>
        </w:rPr>
        <w:t xml:space="preserve">Che non è stata contestata la commissione da parte del sottoscritto o da parte dei soggetti di cui al comma 3 dell'articolo 94 di taluno dei reati consumati o tentati di cui al comma 1 del medesimo articolo 94; </w:t>
      </w:r>
    </w:p>
    <w:p>
      <w:pPr>
        <w:pStyle w:val="Normal"/>
        <w:numPr>
          <w:ilvl w:val="1"/>
          <w:numId w:val="5"/>
        </w:numPr>
        <w:spacing w:before="120" w:after="120"/>
        <w:jc w:val="both"/>
        <w:rPr>
          <w:rFonts w:cs="Tahoma" w:ascii="Tahoma" w:hAnsi="Tahoma"/>
          <w:sz w:val="22"/>
          <w:szCs w:val="22"/>
        </w:rPr>
      </w:pPr>
      <w:r>
        <w:rPr>
          <w:rFonts w:cs="Tahoma" w:ascii="Tahoma" w:hAnsi="Tahoma"/>
          <w:i/>
          <w:sz w:val="22"/>
          <w:szCs w:val="22"/>
        </w:rPr>
        <w:t xml:space="preserve">(ai sensi dell’art. 98 c. 3 lett h) </w:t>
      </w:r>
      <w:r>
        <w:rPr>
          <w:rFonts w:cs="Tahoma" w:ascii="Tahoma" w:hAnsi="Tahoma"/>
          <w:sz w:val="22"/>
          <w:szCs w:val="22"/>
        </w:rPr>
        <w:t xml:space="preserve">Che non è stata contestata la commissione da parte del sottoscritto o da parte dei soggetti di cui al comma 3 dell'articolo 94 di taluno dei seguenti reati consumati: </w:t>
      </w:r>
    </w:p>
    <w:p>
      <w:pPr>
        <w:pStyle w:val="ListParagraph"/>
        <w:numPr>
          <w:ilvl w:val="0"/>
          <w:numId w:val="2"/>
        </w:numPr>
        <w:spacing w:before="120" w:after="120"/>
        <w:jc w:val="both"/>
        <w:rPr>
          <w:rFonts w:cs="Tahoma" w:ascii="Tahoma" w:hAnsi="Tahoma"/>
          <w:sz w:val="22"/>
          <w:szCs w:val="22"/>
        </w:rPr>
      </w:pPr>
      <w:r>
        <w:rPr>
          <w:rFonts w:cs="Tahoma" w:ascii="Tahoma" w:hAnsi="Tahoma"/>
          <w:sz w:val="22"/>
          <w:szCs w:val="22"/>
        </w:rPr>
        <w:t xml:space="preserve">abusivo esercizio di una professione, ai sensi dell'articolo 348 del codice penale; </w:t>
      </w:r>
    </w:p>
    <w:p>
      <w:pPr>
        <w:pStyle w:val="ListParagraph"/>
        <w:numPr>
          <w:ilvl w:val="0"/>
          <w:numId w:val="2"/>
        </w:numPr>
        <w:spacing w:before="120" w:after="120"/>
        <w:jc w:val="both"/>
        <w:rPr>
          <w:rFonts w:cs="Tahoma" w:ascii="Tahoma" w:hAnsi="Tahoma"/>
          <w:sz w:val="22"/>
          <w:szCs w:val="22"/>
        </w:rPr>
      </w:pPr>
      <w:r>
        <w:rPr>
          <w:rFonts w:cs="Tahoma" w:ascii="Tahoma" w:hAnsi="Tahoma"/>
          <w:sz w:val="22"/>
          <w:szCs w:val="22"/>
        </w:rPr>
        <w:t xml:space="preserve">bancarotta semplice, bancarotta fraudolenta, omessa dichiarazione di beni da comprendere nell'inventario fallimentare o ricorso abusivo al credito, di cui agli articoli 216, 217, 218 e 220 del regio decreto 16 marzo 1942, n. 267; </w:t>
      </w:r>
    </w:p>
    <w:p>
      <w:pPr>
        <w:pStyle w:val="ListParagraph"/>
        <w:numPr>
          <w:ilvl w:val="0"/>
          <w:numId w:val="2"/>
        </w:numPr>
        <w:spacing w:before="120" w:after="120"/>
        <w:jc w:val="both"/>
        <w:rPr>
          <w:rFonts w:cs="Tahoma" w:ascii="Tahoma" w:hAnsi="Tahoma"/>
          <w:sz w:val="22"/>
          <w:szCs w:val="22"/>
        </w:rPr>
      </w:pPr>
      <w:r>
        <w:rPr>
          <w:rFonts w:cs="Tahoma" w:ascii="Tahoma" w:hAnsi="Tahoma"/>
          <w:sz w:val="22"/>
          <w:szCs w:val="22"/>
        </w:rPr>
        <w:t xml:space="preserve">i reati tributari ai sensi del decreto legislativo 10 marzo 2000, n. 74, i delitti societari di cui agli articoli 2621 e seguenti del codice civile o i delitti contro l'industria e il commercio di cui agli articoli da 513 a 517 del codice penale; </w:t>
      </w:r>
    </w:p>
    <w:p>
      <w:pPr>
        <w:pStyle w:val="ListParagraph"/>
        <w:numPr>
          <w:ilvl w:val="0"/>
          <w:numId w:val="2"/>
        </w:numPr>
        <w:spacing w:before="120" w:after="120"/>
        <w:jc w:val="both"/>
        <w:rPr>
          <w:rFonts w:cs="Tahoma" w:ascii="Tahoma" w:hAnsi="Tahoma"/>
          <w:sz w:val="22"/>
          <w:szCs w:val="22"/>
        </w:rPr>
      </w:pPr>
      <w:r>
        <w:rPr>
          <w:rFonts w:cs="Tahoma" w:ascii="Tahoma" w:hAnsi="Tahoma"/>
          <w:sz w:val="22"/>
          <w:szCs w:val="22"/>
        </w:rPr>
        <w:t>(</w:t>
      </w:r>
      <w:r>
        <w:rPr>
          <w:rFonts w:cs="Tahoma" w:ascii="Tahoma" w:hAnsi="Tahoma"/>
          <w:i/>
          <w:sz w:val="22"/>
          <w:szCs w:val="22"/>
        </w:rPr>
        <w:t>con riferimento agli affidamenti aventi ad oggetto lavori o servizi di architettura e ingegneria)</w:t>
      </w:r>
      <w:r>
        <w:rPr>
          <w:rFonts w:cs="Tahoma" w:ascii="Tahoma" w:hAnsi="Tahoma"/>
          <w:sz w:val="22"/>
          <w:szCs w:val="22"/>
        </w:rPr>
        <w:t xml:space="preserve"> i reati urbanistici di cui all'articolo 44, comma 1, lettere b) e c), del testo unico delle disposizioni legislative e regolamentari in materia di edilizia, di cui al decreto del Presidente della Repubblica 6 giugno 2001, n. 380,; </w:t>
      </w:r>
    </w:p>
    <w:p>
      <w:pPr>
        <w:pStyle w:val="ListParagraph"/>
        <w:numPr>
          <w:ilvl w:val="0"/>
          <w:numId w:val="2"/>
        </w:numPr>
        <w:spacing w:before="120" w:after="120"/>
        <w:jc w:val="both"/>
        <w:rPr>
          <w:rFonts w:cs="Tahoma" w:ascii="Tahoma" w:hAnsi="Tahoma"/>
          <w:sz w:val="22"/>
          <w:szCs w:val="22"/>
        </w:rPr>
      </w:pPr>
      <w:r>
        <w:rPr>
          <w:rFonts w:cs="Tahoma" w:ascii="Tahoma" w:hAnsi="Tahoma"/>
          <w:sz w:val="22"/>
          <w:szCs w:val="22"/>
        </w:rPr>
        <w:t xml:space="preserve">i reati previsti dal decreto legislativo 8 giugno 2001, n. 231. </w:t>
      </w:r>
    </w:p>
    <w:p>
      <w:pPr>
        <w:pStyle w:val="Normal"/>
        <w:spacing w:before="120" w:after="120"/>
        <w:ind w:left="144" w:right="0" w:hanging="0"/>
        <w:jc w:val="center"/>
        <w:rPr>
          <w:rFonts w:cs="Tahoma" w:ascii="Tahoma" w:hAnsi="Tahoma"/>
          <w:b/>
          <w:sz w:val="22"/>
          <w:szCs w:val="22"/>
        </w:rPr>
      </w:pPr>
      <w:r>
        <w:rPr>
          <w:rFonts w:cs="Tahoma" w:ascii="Tahoma" w:hAnsi="Tahoma"/>
          <w:b/>
          <w:sz w:val="22"/>
          <w:szCs w:val="22"/>
        </w:rPr>
        <w:t>OPPURE:</w:t>
      </w:r>
    </w:p>
    <w:p>
      <w:pPr>
        <w:pStyle w:val="Corpodeltesto"/>
        <w:keepLines/>
        <w:spacing w:lineRule="auto" w:line="240"/>
        <w:ind w:left="851" w:right="0" w:hanging="0"/>
        <w:rPr>
          <w:rFonts w:cs="Tahoma" w:ascii="Tahoma" w:hAnsi="Tahoma"/>
          <w:color w:val="00000A"/>
          <w:szCs w:val="22"/>
        </w:rPr>
      </w:pPr>
      <w:r>
        <w:rPr>
          <w:rFonts w:cs="Tahoma" w:ascii="Tahoma" w:hAnsi="Tahoma"/>
          <w:color w:val="00000A"/>
          <w:szCs w:val="22"/>
        </w:rPr>
      </w:r>
    </w:p>
    <w:p>
      <w:pPr>
        <w:pStyle w:val="ListParagraph"/>
        <w:keepLines/>
        <w:numPr>
          <w:ilvl w:val="0"/>
          <w:numId w:val="4"/>
        </w:numPr>
        <w:tabs>
          <w:tab w:val="left" w:pos="851" w:leader="none"/>
          <w:tab w:val="left" w:pos="9638" w:leader="none"/>
        </w:tabs>
        <w:suppressAutoHyphens w:val="false"/>
        <w:jc w:val="both"/>
        <w:rPr>
          <w:rFonts w:cs="Tahoma" w:ascii="Tahoma" w:hAnsi="Tahoma"/>
          <w:sz w:val="22"/>
          <w:szCs w:val="22"/>
        </w:rPr>
      </w:pPr>
      <w:r>
        <w:rPr>
          <w:rFonts w:cs="Tahoma" w:ascii="Tahoma" w:hAnsi="Tahoma"/>
          <w:sz w:val="22"/>
          <w:szCs w:val="22"/>
        </w:rPr>
        <w:t xml:space="preserve">che si è verificata la/e seguente/i causa/e di esclusione di cui agli art. </w:t>
      </w:r>
      <w:r>
        <w:rPr>
          <w:rFonts w:cs="Tahoma" w:ascii="Tahoma" w:hAnsi="Tahoma"/>
          <w:b/>
          <w:sz w:val="22"/>
          <w:szCs w:val="22"/>
        </w:rPr>
        <w:t>94, 95 o 98</w:t>
      </w:r>
      <w:r>
        <w:rPr>
          <w:rFonts w:cs="Tahoma" w:ascii="Tahoma" w:hAnsi="Tahoma"/>
          <w:sz w:val="22"/>
          <w:szCs w:val="22"/>
        </w:rPr>
        <w:t xml:space="preserve"> sopra richiamati e precisamente: _</w:t>
      </w:r>
    </w:p>
    <w:p>
      <w:pPr>
        <w:pStyle w:val="ListParagraph"/>
        <w:keepLines/>
        <w:tabs>
          <w:tab w:val="left" w:pos="851" w:leader="none"/>
          <w:tab w:val="left" w:pos="9638" w:leader="none"/>
        </w:tabs>
        <w:ind w:left="850" w:right="0" w:hanging="0"/>
        <w:jc w:val="both"/>
        <w:rPr>
          <w:rFonts w:cs="Tahoma" w:ascii="Tahoma" w:hAnsi="Tahoma"/>
          <w:sz w:val="22"/>
          <w:szCs w:val="22"/>
          <w:u w:val="single"/>
        </w:rPr>
      </w:pPr>
      <w:r>
        <w:rPr>
          <w:rFonts w:cs="Tahoma" w:ascii="Tahoma" w:hAnsi="Tahoma"/>
          <w:sz w:val="22"/>
          <w:szCs w:val="22"/>
        </w:rPr>
        <w:tab/>
      </w:r>
      <w:r>
        <w:rPr>
          <w:rFonts w:cs="Tahoma" w:ascii="Tahoma" w:hAnsi="Tahoma"/>
          <w:sz w:val="22"/>
          <w:szCs w:val="22"/>
          <w:u w:val="single"/>
        </w:rPr>
        <w:tab/>
        <w:tab/>
        <w:tab/>
        <w:tab/>
        <w:tab/>
        <w:tab/>
        <w:t xml:space="preserve"> </w:t>
      </w:r>
    </w:p>
    <w:p>
      <w:pPr>
        <w:pStyle w:val="Corpodeltesto"/>
        <w:keepLines/>
        <w:spacing w:lineRule="auto" w:line="240"/>
        <w:ind w:left="851" w:right="0" w:hanging="0"/>
        <w:rPr>
          <w:rFonts w:cs="Tahoma" w:ascii="Tahoma" w:hAnsi="Tahoma"/>
          <w:color w:val="00000A"/>
          <w:szCs w:val="22"/>
        </w:rPr>
      </w:pPr>
      <w:r>
        <w:rPr>
          <w:rFonts w:cs="Tahoma" w:ascii="Tahoma" w:hAnsi="Tahoma"/>
          <w:color w:val="00000A"/>
          <w:szCs w:val="22"/>
        </w:rPr>
        <w:t xml:space="preserve">e che l’impresa ha tempestivamente adottato le seguenti misure di cui all’art. 96, c. 6 del Codice </w:t>
      </w:r>
      <w:r>
        <w:rPr>
          <w:rFonts w:cs="Tahoma" w:ascii="Tahoma" w:hAnsi="Tahoma"/>
          <w:i/>
          <w:color w:val="00000A"/>
          <w:szCs w:val="22"/>
        </w:rPr>
        <w:t>(aver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w:t>
      </w:r>
      <w:r>
        <w:rPr>
          <w:rFonts w:cs="Tahoma" w:ascii="Tahoma" w:hAnsi="Tahoma"/>
          <w:color w:val="00000A"/>
          <w:szCs w:val="22"/>
        </w:rPr>
        <w:t>) sufficienti a dimostrare la propria affidabilità:</w:t>
      </w:r>
    </w:p>
    <w:p>
      <w:pPr>
        <w:pStyle w:val="Corpodeltesto"/>
        <w:keepLines/>
        <w:spacing w:lineRule="auto" w:line="240"/>
        <w:ind w:left="851" w:right="0" w:hanging="0"/>
        <w:rPr>
          <w:rFonts w:cs="Tahoma" w:ascii="Tahoma" w:hAnsi="Tahoma"/>
          <w:i/>
          <w:color w:val="00000A"/>
          <w:szCs w:val="22"/>
        </w:rPr>
      </w:pPr>
      <w:r>
        <w:rPr>
          <w:rFonts w:cs="Tahoma" w:ascii="Tahoma" w:hAnsi="Tahoma"/>
          <w:color w:val="00000A"/>
          <w:szCs w:val="22"/>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cs="Tahoma" w:ascii="Tahoma" w:hAnsi="Tahoma"/>
          <w:i/>
          <w:color w:val="00000A"/>
          <w:szCs w:val="22"/>
        </w:rPr>
        <w:t>(descrivere nel dettaglio, allegando ogni documentazione/dichiarazione ritenuta idonea, se on presente nel proprio FVOE 2.0)</w:t>
      </w:r>
    </w:p>
    <w:p>
      <w:pPr>
        <w:pStyle w:val="Normal"/>
        <w:keepLines/>
        <w:tabs>
          <w:tab w:val="left" w:pos="851" w:leader="none"/>
          <w:tab w:val="left" w:pos="1134" w:leader="none"/>
        </w:tabs>
        <w:jc w:val="both"/>
        <w:rPr>
          <w:rFonts w:cs="Tahoma" w:ascii="Tahoma" w:hAnsi="Tahoma"/>
          <w:bCs/>
          <w:sz w:val="22"/>
          <w:szCs w:val="22"/>
        </w:rPr>
      </w:pPr>
      <w:r>
        <w:rPr>
          <w:rFonts w:cs="Tahoma" w:ascii="Tahoma" w:hAnsi="Tahoma"/>
          <w:bCs/>
          <w:sz w:val="22"/>
          <w:szCs w:val="22"/>
        </w:rPr>
      </w:r>
    </w:p>
    <w:p>
      <w:pPr>
        <w:pStyle w:val="Normal"/>
        <w:spacing w:before="120" w:after="120"/>
        <w:jc w:val="center"/>
        <w:rPr>
          <w:rFonts w:cs="Tahoma" w:ascii="Tahoma" w:hAnsi="Tahoma"/>
          <w:b/>
          <w:sz w:val="22"/>
          <w:szCs w:val="22"/>
        </w:rPr>
      </w:pPr>
      <w:r>
        <w:rPr>
          <w:rFonts w:cs="Tahoma" w:ascii="Tahoma" w:hAnsi="Tahoma"/>
          <w:b/>
          <w:sz w:val="22"/>
          <w:szCs w:val="22"/>
        </w:rPr>
        <w:t>DICHIARA altresì</w:t>
      </w:r>
    </w:p>
    <w:p>
      <w:pPr>
        <w:pStyle w:val="Normal"/>
        <w:spacing w:before="120" w:after="120"/>
        <w:ind w:left="792" w:right="0" w:hanging="0"/>
        <w:jc w:val="both"/>
        <w:rPr>
          <w:rFonts w:cs="Tahoma" w:ascii="Tahoma" w:hAnsi="Tahoma"/>
          <w:sz w:val="22"/>
          <w:szCs w:val="22"/>
        </w:rPr>
      </w:pPr>
      <w:r>
        <w:rPr>
          <w:rFonts w:cs="Tahoma" w:ascii="Tahoma" w:hAnsi="Tahoma"/>
          <w:sz w:val="22"/>
          <w:szCs w:val="22"/>
        </w:rPr>
      </w:r>
    </w:p>
    <w:p>
      <w:pPr>
        <w:pStyle w:val="Normal"/>
        <w:numPr>
          <w:ilvl w:val="0"/>
          <w:numId w:val="1"/>
        </w:numPr>
        <w:spacing w:before="120" w:after="120"/>
        <w:jc w:val="both"/>
        <w:rPr>
          <w:rFonts w:cs="Tahoma" w:ascii="Tahoma" w:hAnsi="Tahoma"/>
          <w:color w:val="000000"/>
          <w:sz w:val="22"/>
          <w:szCs w:val="22"/>
        </w:rPr>
      </w:pPr>
      <w:r>
        <w:rPr>
          <w:rFonts w:eastAsia="Arial" w:cs="Tahoma" w:ascii="Tahoma" w:hAnsi="Tahoma"/>
          <w:sz w:val="22"/>
          <w:szCs w:val="22"/>
        </w:rPr>
        <w:t>Di non aver affidato incarichi in violazione dell’art. 53, comma 16-ter, del d.lgs. n.165/2001;</w:t>
      </w:r>
      <w:r>
        <w:rPr>
          <w:rFonts w:cs="Tahoma" w:ascii="Tahoma" w:hAnsi="Tahoma"/>
          <w:color w:val="000000"/>
          <w:sz w:val="22"/>
          <w:szCs w:val="22"/>
        </w:rPr>
        <w:t xml:space="preserve"> </w:t>
      </w:r>
    </w:p>
    <w:p>
      <w:pPr>
        <w:pStyle w:val="Normal"/>
        <w:numPr>
          <w:ilvl w:val="0"/>
          <w:numId w:val="1"/>
        </w:numPr>
        <w:spacing w:before="120" w:after="120"/>
        <w:jc w:val="both"/>
        <w:rPr>
          <w:rFonts w:eastAsia="Arial" w:cs="Tahoma" w:ascii="Tahoma" w:hAnsi="Tahoma"/>
          <w:sz w:val="22"/>
          <w:szCs w:val="22"/>
        </w:rPr>
      </w:pPr>
      <w:r>
        <w:rPr>
          <w:rFonts w:eastAsia="Arial" w:cs="Tahoma" w:ascii="Tahoma" w:hAnsi="Tahoma"/>
          <w:sz w:val="22"/>
          <w:szCs w:val="22"/>
        </w:rPr>
        <w:t>Con riferimento alla L. 383/2001:</w:t>
      </w:r>
    </w:p>
    <w:p>
      <w:pPr>
        <w:pStyle w:val="Normal"/>
        <w:numPr>
          <w:ilvl w:val="1"/>
          <w:numId w:val="1"/>
        </w:numPr>
        <w:spacing w:before="120" w:after="120"/>
        <w:ind w:left="851" w:right="0" w:hanging="432"/>
        <w:jc w:val="both"/>
        <w:rPr>
          <w:rFonts w:eastAsia="Arial" w:cs="Tahoma" w:ascii="Tahoma" w:hAnsi="Tahoma"/>
          <w:iCs/>
          <w:sz w:val="22"/>
          <w:szCs w:val="22"/>
        </w:rPr>
      </w:pPr>
      <w:r>
        <w:rPr>
          <w:rFonts w:eastAsia="Arial" w:cs="Tahoma" w:ascii="Tahoma" w:hAnsi="Tahoma"/>
          <w:sz w:val="22"/>
          <w:szCs w:val="22"/>
        </w:rPr>
        <w:t>di non essersi avvalso dei piani individuali di emersione di cui all’art. 1-bis, comma 14, della legge 18 ottobre 2001, n. 383, come sostituito dal decreto legge 25 settembre 2002, n. 210, convertito, con modificazioni, dalla legge 22 novembre 2002, n. 266</w:t>
      </w:r>
      <w:r>
        <w:rPr>
          <w:rFonts w:eastAsia="Arial" w:cs="Tahoma" w:ascii="Tahoma" w:hAnsi="Tahoma"/>
          <w:iCs/>
          <w:sz w:val="22"/>
          <w:szCs w:val="22"/>
        </w:rPr>
        <w:t xml:space="preserve"> </w:t>
      </w:r>
    </w:p>
    <w:p>
      <w:pPr>
        <w:pStyle w:val="Normal"/>
        <w:spacing w:before="120" w:after="120"/>
        <w:ind w:left="851" w:right="0" w:hanging="0"/>
        <w:jc w:val="both"/>
        <w:rPr>
          <w:rFonts w:eastAsia="Arial" w:cs="Tahoma" w:ascii="Tahoma" w:hAnsi="Tahoma"/>
          <w:b/>
          <w:iCs/>
          <w:sz w:val="22"/>
          <w:szCs w:val="22"/>
        </w:rPr>
      </w:pPr>
      <w:r>
        <w:rPr>
          <w:rFonts w:eastAsia="Arial" w:cs="Tahoma" w:ascii="Tahoma" w:hAnsi="Tahoma"/>
          <w:b/>
          <w:iCs/>
          <w:sz w:val="22"/>
          <w:szCs w:val="22"/>
        </w:rPr>
        <w:t xml:space="preserve">oppure: </w:t>
      </w:r>
    </w:p>
    <w:p>
      <w:pPr>
        <w:pStyle w:val="Normal"/>
        <w:numPr>
          <w:ilvl w:val="1"/>
          <w:numId w:val="1"/>
        </w:numPr>
        <w:spacing w:before="120" w:after="120"/>
        <w:ind w:left="851" w:right="0" w:hanging="432"/>
        <w:jc w:val="both"/>
        <w:rPr>
          <w:rFonts w:eastAsia="Arial" w:cs="Tahoma" w:ascii="Tahoma" w:hAnsi="Tahoma"/>
          <w:sz w:val="22"/>
          <w:szCs w:val="22"/>
        </w:rPr>
      </w:pPr>
      <w:r>
        <w:rPr>
          <w:rFonts w:eastAsia="Arial" w:cs="Tahoma" w:ascii="Tahoma" w:hAnsi="Tahoma"/>
          <w:iCs/>
          <w:sz w:val="22"/>
          <w:szCs w:val="22"/>
        </w:rPr>
        <w:t xml:space="preserve">di essersi </w:t>
      </w:r>
      <w:r>
        <w:rPr>
          <w:rFonts w:eastAsia="Arial" w:cs="Tahoma" w:ascii="Tahoma" w:hAnsi="Tahoma"/>
          <w:sz w:val="22"/>
          <w:szCs w:val="22"/>
        </w:rPr>
        <w:t>avvalso dei piani individuali di emersione, il periodo di emersione si è concluso;</w:t>
      </w:r>
    </w:p>
    <w:p>
      <w:pPr>
        <w:pStyle w:val="ListParagraph"/>
        <w:ind w:left="360" w:right="0" w:hanging="0"/>
        <w:jc w:val="both"/>
        <w:rPr>
          <w:rFonts w:cs="Tahoma" w:ascii="Tahoma" w:hAnsi="Tahoma"/>
          <w:sz w:val="22"/>
          <w:szCs w:val="22"/>
        </w:rPr>
      </w:pPr>
      <w:r>
        <w:rPr>
          <w:rFonts w:cs="Tahoma" w:ascii="Tahoma" w:hAnsi="Tahoma"/>
          <w:sz w:val="22"/>
          <w:szCs w:val="22"/>
        </w:rPr>
      </w:r>
    </w:p>
    <w:p>
      <w:pPr>
        <w:pStyle w:val="ListParagraph"/>
        <w:numPr>
          <w:ilvl w:val="0"/>
          <w:numId w:val="1"/>
        </w:numPr>
        <w:jc w:val="both"/>
        <w:rPr>
          <w:rFonts w:cs="Tahoma" w:ascii="Tahoma" w:hAnsi="Tahoma"/>
          <w:sz w:val="22"/>
          <w:szCs w:val="22"/>
        </w:rPr>
      </w:pPr>
      <w:r>
        <w:rPr>
          <w:rFonts w:cs="Tahoma" w:ascii="Tahoma" w:hAnsi="Tahoma"/>
          <w:sz w:val="22"/>
          <w:szCs w:val="22"/>
        </w:rPr>
        <w:t>di conoscere e di accettare, senza condizione o riserva alcuna, tutte le norme e disposizioni contenute nella richiesta di preventivo</w:t>
      </w:r>
    </w:p>
    <w:p>
      <w:pPr>
        <w:pStyle w:val="Normal"/>
        <w:numPr>
          <w:ilvl w:val="0"/>
          <w:numId w:val="1"/>
        </w:numPr>
        <w:spacing w:before="120" w:after="120"/>
        <w:jc w:val="both"/>
        <w:rPr>
          <w:rFonts w:cs="Tahoma" w:ascii="Tahoma" w:hAnsi="Tahoma"/>
          <w:sz w:val="22"/>
          <w:szCs w:val="22"/>
        </w:rPr>
      </w:pPr>
      <w:r>
        <w:rPr>
          <w:rFonts w:cs="Tahoma" w:ascii="Tahoma" w:hAnsi="Tahoma"/>
          <w:sz w:val="22"/>
          <w:szCs w:val="22"/>
        </w:rPr>
        <w:t>di essere edotto degli obblighi derivanti dal DPR 62/2013, codice di comportamento dei dipendenti pubblici nonché degli obblighi derivanti dal Codice di Comportamento della stazione appaltante, e si impegna, in caso di aggiudicazione, a osservare e a far osservare ai propri dipendenti e collaboratori, per quanto applicabile, il suddetto codice, pena la risoluzione della convenzione.</w:t>
      </w:r>
    </w:p>
    <w:p>
      <w:pPr>
        <w:pStyle w:val="Normal"/>
        <w:numPr>
          <w:ilvl w:val="0"/>
          <w:numId w:val="1"/>
        </w:numPr>
        <w:spacing w:before="120" w:after="120"/>
        <w:jc w:val="both"/>
        <w:rPr>
          <w:rFonts w:cs="Tahoma" w:ascii="Tahoma" w:hAnsi="Tahoma"/>
          <w:sz w:val="22"/>
          <w:szCs w:val="22"/>
        </w:rPr>
      </w:pPr>
      <w:r>
        <w:rPr>
          <w:rFonts w:cs="Tahoma" w:ascii="Tahoma" w:hAnsi="Tahoma"/>
          <w:sz w:val="22"/>
          <w:szCs w:val="22"/>
        </w:rPr>
        <w:t xml:space="preserve">di aver ricevuto informativa sulla </w:t>
      </w:r>
      <w:r>
        <w:rPr>
          <w:rFonts w:cs="Tahoma" w:ascii="Tahoma" w:hAnsi="Tahoma"/>
          <w:i/>
          <w:sz w:val="22"/>
          <w:szCs w:val="22"/>
        </w:rPr>
        <w:t xml:space="preserve">privacy </w:t>
      </w:r>
      <w:r>
        <w:rPr>
          <w:rFonts w:cs="Tahoma" w:ascii="Tahoma" w:hAnsi="Tahoma"/>
          <w:sz w:val="22"/>
          <w:szCs w:val="22"/>
        </w:rPr>
        <w:t>ai sensi degli artt. 12 e 13 del regolamento UE n. 679/2016, in allegato in SINTEL</w:t>
      </w:r>
    </w:p>
    <w:p>
      <w:pPr>
        <w:pStyle w:val="Normal"/>
        <w:spacing w:before="120" w:after="120"/>
        <w:jc w:val="both"/>
        <w:rPr>
          <w:rFonts w:cs="Tahoma" w:ascii="Tahoma" w:hAnsi="Tahoma"/>
          <w:b/>
          <w:iCs/>
          <w:sz w:val="22"/>
          <w:szCs w:val="22"/>
        </w:rPr>
      </w:pPr>
      <w:r>
        <w:rPr>
          <w:rFonts w:cs="Tahoma" w:ascii="Tahoma" w:hAnsi="Tahoma"/>
          <w:b/>
          <w:iCs/>
          <w:sz w:val="22"/>
          <w:szCs w:val="22"/>
        </w:rPr>
      </w:r>
    </w:p>
    <w:p>
      <w:pPr>
        <w:pStyle w:val="Normal"/>
        <w:numPr>
          <w:ilvl w:val="0"/>
          <w:numId w:val="1"/>
        </w:numPr>
        <w:spacing w:before="120" w:after="120"/>
        <w:jc w:val="both"/>
        <w:rPr>
          <w:rFonts w:cs="Tahoma" w:ascii="Tahoma" w:hAnsi="Tahoma"/>
          <w:iCs/>
          <w:sz w:val="22"/>
          <w:szCs w:val="22"/>
        </w:rPr>
      </w:pPr>
      <w:r>
        <w:rPr>
          <w:rFonts w:cs="Tahoma" w:ascii="Tahoma" w:hAnsi="Tahoma"/>
          <w:iCs/>
          <w:sz w:val="22"/>
          <w:szCs w:val="22"/>
        </w:rPr>
        <w:t>di applicare:</w:t>
      </w:r>
    </w:p>
    <w:p>
      <w:pPr>
        <w:pStyle w:val="ListParagraph"/>
        <w:numPr>
          <w:ilvl w:val="0"/>
          <w:numId w:val="3"/>
        </w:numPr>
        <w:spacing w:before="120" w:after="120"/>
        <w:jc w:val="both"/>
        <w:rPr>
          <w:rFonts w:cs="Tahoma" w:ascii="Tahoma" w:hAnsi="Tahoma"/>
          <w:iCs/>
          <w:sz w:val="22"/>
          <w:szCs w:val="22"/>
        </w:rPr>
      </w:pPr>
      <w:r>
        <w:rPr>
          <w:rFonts w:cs="Tahoma" w:ascii="Tahoma" w:hAnsi="Tahoma"/>
          <w:iCs/>
          <w:sz w:val="22"/>
          <w:szCs w:val="22"/>
        </w:rPr>
        <w:t xml:space="preserve">il CCNL indicato dalla stazione appaltante </w:t>
      </w:r>
    </w:p>
    <w:p>
      <w:pPr>
        <w:pStyle w:val="ListParagraph"/>
        <w:spacing w:before="120" w:after="120"/>
        <w:ind w:left="720" w:right="0" w:hanging="0"/>
        <w:jc w:val="both"/>
        <w:rPr>
          <w:rFonts w:cs="Tahoma" w:ascii="Tahoma" w:hAnsi="Tahoma"/>
          <w:b/>
          <w:iCs/>
          <w:sz w:val="22"/>
          <w:szCs w:val="22"/>
        </w:rPr>
      </w:pPr>
      <w:r>
        <w:rPr>
          <w:rFonts w:cs="Tahoma" w:ascii="Tahoma" w:hAnsi="Tahoma"/>
          <w:b/>
          <w:iCs/>
          <w:sz w:val="22"/>
          <w:szCs w:val="22"/>
        </w:rPr>
        <w:t>OPPURE:</w:t>
      </w:r>
    </w:p>
    <w:p>
      <w:pPr>
        <w:pStyle w:val="ListParagraph"/>
        <w:numPr>
          <w:ilvl w:val="0"/>
          <w:numId w:val="3"/>
        </w:numPr>
        <w:spacing w:before="120" w:after="120"/>
        <w:jc w:val="both"/>
        <w:rPr>
          <w:rFonts w:cs="Tahoma" w:ascii="Tahoma" w:hAnsi="Tahoma"/>
          <w:iCs/>
          <w:sz w:val="22"/>
          <w:szCs w:val="22"/>
        </w:rPr>
      </w:pPr>
      <w:r>
        <w:rPr>
          <w:rFonts w:cs="Tahoma" w:ascii="Tahoma" w:hAnsi="Tahoma"/>
          <w:iCs/>
          <w:sz w:val="22"/>
          <w:szCs w:val="22"/>
        </w:rPr>
        <w:t>di applicare il seguente CCNL: ____________________________________, codice alfanumerico unico: ______________ di cui all’articolo 16 quater del decreto legge 76/20, ma di impegnarsi per l’appalto in oggetto ad applicare il CCNL indicato dalla stazione appaltante</w:t>
      </w:r>
    </w:p>
    <w:p>
      <w:pPr>
        <w:pStyle w:val="ListParagraph"/>
        <w:spacing w:before="120" w:after="120"/>
        <w:ind w:left="720" w:right="0" w:hanging="0"/>
        <w:jc w:val="both"/>
        <w:rPr>
          <w:rFonts w:cs="Tahoma" w:ascii="Tahoma" w:hAnsi="Tahoma"/>
          <w:b/>
          <w:iCs/>
          <w:sz w:val="22"/>
          <w:szCs w:val="22"/>
        </w:rPr>
      </w:pPr>
      <w:r>
        <w:rPr>
          <w:rFonts w:cs="Tahoma" w:ascii="Tahoma" w:hAnsi="Tahoma"/>
          <w:b/>
          <w:iCs/>
          <w:sz w:val="22"/>
          <w:szCs w:val="22"/>
        </w:rPr>
        <w:t>OPPURE:</w:t>
      </w:r>
    </w:p>
    <w:p>
      <w:pPr>
        <w:pStyle w:val="ListParagraph"/>
        <w:numPr>
          <w:ilvl w:val="0"/>
          <w:numId w:val="3"/>
        </w:numPr>
        <w:spacing w:before="120" w:after="120"/>
        <w:jc w:val="both"/>
        <w:rPr>
          <w:rFonts w:cs="Tahoma" w:ascii="Tahoma" w:hAnsi="Tahoma"/>
          <w:iCs/>
          <w:sz w:val="22"/>
          <w:szCs w:val="22"/>
        </w:rPr>
      </w:pPr>
      <w:r>
        <w:rPr>
          <w:rFonts w:cs="Tahoma" w:ascii="Tahoma" w:hAnsi="Tahoma"/>
          <w:iCs/>
          <w:sz w:val="22"/>
          <w:szCs w:val="22"/>
        </w:rPr>
        <w:t xml:space="preserve">di applicare il seguente CCNL: ____________________________________, codice alfanumerico unico: ______________ di cui all’articolo 16 quater del decreto legge 76/20 e di impegnarsi a garantire le medesime tutele del CCNL indicato dalla stazione appaltante. In tal caso, </w:t>
      </w:r>
      <w:r>
        <w:rPr>
          <w:rFonts w:cs="Tahoma" w:ascii="Tahoma" w:hAnsi="Tahoma"/>
          <w:b/>
          <w:iCs/>
          <w:sz w:val="22"/>
          <w:szCs w:val="22"/>
        </w:rPr>
        <w:t xml:space="preserve">ALLEGA </w:t>
      </w:r>
      <w:r>
        <w:rPr>
          <w:rFonts w:cs="Tahoma" w:ascii="Tahoma" w:hAnsi="Tahoma"/>
          <w:iCs/>
          <w:sz w:val="22"/>
          <w:szCs w:val="22"/>
        </w:rPr>
        <w:t>apposita dichiarazione di dettaglio, indicando quali tutele sono garantite in via equivalente</w:t>
      </w:r>
    </w:p>
    <w:p>
      <w:pPr>
        <w:pStyle w:val="ListParagraph"/>
        <w:spacing w:before="120" w:after="120"/>
        <w:ind w:left="720" w:right="0" w:hanging="0"/>
        <w:jc w:val="both"/>
        <w:rPr>
          <w:rFonts w:cs="Tahoma" w:ascii="Tahoma" w:hAnsi="Tahoma"/>
          <w:b/>
          <w:iCs/>
          <w:sz w:val="22"/>
          <w:szCs w:val="22"/>
        </w:rPr>
      </w:pPr>
      <w:r>
        <w:rPr>
          <w:rFonts w:cs="Tahoma" w:ascii="Tahoma" w:hAnsi="Tahoma"/>
          <w:b/>
          <w:iCs/>
          <w:sz w:val="22"/>
          <w:szCs w:val="22"/>
        </w:rPr>
      </w:r>
    </w:p>
    <w:p>
      <w:pPr>
        <w:pStyle w:val="Normal"/>
        <w:numPr>
          <w:ilvl w:val="0"/>
          <w:numId w:val="1"/>
        </w:numPr>
        <w:spacing w:before="120" w:after="120"/>
        <w:jc w:val="both"/>
        <w:rPr>
          <w:rFonts w:cs="Tahoma" w:ascii="Tahoma" w:hAnsi="Tahoma"/>
          <w:iCs/>
          <w:sz w:val="22"/>
          <w:szCs w:val="22"/>
        </w:rPr>
      </w:pPr>
      <w:r>
        <w:rPr>
          <w:rFonts w:cs="Tahoma" w:ascii="Tahoma" w:hAnsi="Tahoma"/>
          <w:b/>
          <w:iCs/>
          <w:color w:val="FF0000"/>
          <w:sz w:val="22"/>
          <w:szCs w:val="22"/>
        </w:rPr>
        <w:t xml:space="preserve">[Se previste le clausole sociali] </w:t>
      </w:r>
      <w:r>
        <w:rPr>
          <w:rFonts w:cs="Tahoma" w:ascii="Tahoma" w:hAnsi="Tahoma"/>
          <w:iCs/>
          <w:sz w:val="22"/>
          <w:szCs w:val="22"/>
        </w:rPr>
        <w:t xml:space="preserve">di garantire, secondo quanto indicato nel paragrafo della lettera di invito dedicato alle clausole sociali, la stabilità occupazionale del personale impiegato, e indica le modalità con cui intende adempiere a tali impegni come da </w:t>
      </w:r>
      <w:r>
        <w:rPr>
          <w:rFonts w:cs="Tahoma" w:ascii="Tahoma" w:hAnsi="Tahoma"/>
          <w:b/>
          <w:iCs/>
          <w:sz w:val="22"/>
          <w:szCs w:val="22"/>
        </w:rPr>
        <w:t>relazione allegata</w:t>
      </w:r>
      <w:r>
        <w:rPr>
          <w:rFonts w:cs="Tahoma" w:ascii="Tahoma" w:hAnsi="Tahoma"/>
          <w:iCs/>
          <w:sz w:val="22"/>
          <w:szCs w:val="22"/>
        </w:rPr>
        <w:t xml:space="preserve">, ai sensi dell’art. 102 c. 2 del Codice </w:t>
      </w:r>
      <w:r>
        <w:rPr>
          <w:rFonts w:cs="Tahoma" w:ascii="Tahoma" w:hAnsi="Tahoma"/>
          <w:b/>
          <w:iCs/>
          <w:sz w:val="22"/>
          <w:szCs w:val="22"/>
        </w:rPr>
        <w:t>(presentare la relazione in allegato)</w:t>
      </w:r>
      <w:r>
        <w:rPr>
          <w:rFonts w:cs="Tahoma" w:ascii="Tahoma" w:hAnsi="Tahoma"/>
          <w:iCs/>
          <w:sz w:val="22"/>
          <w:szCs w:val="22"/>
        </w:rPr>
        <w:t>.</w:t>
      </w:r>
    </w:p>
    <w:p>
      <w:pPr>
        <w:pStyle w:val="Normal"/>
        <w:spacing w:before="120" w:after="120"/>
        <w:ind w:left="360" w:right="0" w:hanging="0"/>
        <w:jc w:val="both"/>
        <w:rPr>
          <w:rFonts w:cs="Tahoma" w:ascii="Tahoma" w:hAnsi="Tahoma"/>
          <w:b/>
          <w:iCs/>
          <w:sz w:val="22"/>
          <w:szCs w:val="22"/>
        </w:rPr>
      </w:pPr>
      <w:r>
        <w:rPr>
          <w:rFonts w:cs="Tahoma" w:ascii="Tahoma" w:hAnsi="Tahoma"/>
          <w:b/>
          <w:iCs/>
          <w:sz w:val="22"/>
          <w:szCs w:val="22"/>
        </w:rPr>
      </w:r>
    </w:p>
    <w:p>
      <w:pPr>
        <w:pStyle w:val="Normal"/>
        <w:spacing w:before="120" w:after="120"/>
        <w:ind w:left="360" w:right="0" w:hanging="0"/>
        <w:jc w:val="both"/>
        <w:rPr>
          <w:rFonts w:cs="Tahoma" w:ascii="Tahoma" w:hAnsi="Tahoma"/>
          <w:iCs/>
          <w:sz w:val="22"/>
          <w:szCs w:val="22"/>
        </w:rPr>
      </w:pPr>
      <w:r>
        <w:rPr>
          <w:rFonts w:cs="Tahoma" w:ascii="Tahoma" w:hAnsi="Tahoma"/>
          <w:b/>
          <w:iCs/>
          <w:sz w:val="22"/>
          <w:szCs w:val="22"/>
        </w:rPr>
        <w:t>[Se richiesti requisiti particolari per l'esecuzione del contratto ai sensi dell’articolo 113 del Codice]</w:t>
      </w:r>
      <w:r>
        <w:rPr>
          <w:rFonts w:cs="Tahoma" w:ascii="Tahoma" w:hAnsi="Tahoma"/>
          <w:iCs/>
          <w:sz w:val="22"/>
          <w:szCs w:val="22"/>
        </w:rPr>
        <w:t xml:space="preserve"> </w:t>
      </w:r>
    </w:p>
    <w:p>
      <w:pPr>
        <w:pStyle w:val="Normal"/>
        <w:numPr>
          <w:ilvl w:val="0"/>
          <w:numId w:val="1"/>
        </w:numPr>
        <w:spacing w:before="120" w:after="120"/>
        <w:jc w:val="both"/>
        <w:rPr>
          <w:rFonts w:cs="Tahoma" w:ascii="Tahoma" w:hAnsi="Tahoma"/>
          <w:iCs/>
          <w:sz w:val="22"/>
          <w:szCs w:val="22"/>
        </w:rPr>
      </w:pPr>
      <w:r>
        <w:rPr>
          <w:rFonts w:cs="Tahoma" w:ascii="Tahoma" w:hAnsi="Tahoma"/>
          <w:iCs/>
          <w:sz w:val="22"/>
          <w:szCs w:val="22"/>
        </w:rPr>
        <w:t>di accettare, in caso di aggiudicazione, i requisiti particolari indicati nella lettera di invito;</w:t>
      </w:r>
    </w:p>
    <w:p>
      <w:pPr>
        <w:pStyle w:val="Normal"/>
        <w:numPr>
          <w:ilvl w:val="0"/>
          <w:numId w:val="1"/>
        </w:numPr>
        <w:spacing w:before="120" w:after="120"/>
        <w:jc w:val="both"/>
        <w:rPr>
          <w:rFonts w:cs="Tahoma" w:ascii="Tahoma" w:hAnsi="Tahoma"/>
          <w:iCs/>
          <w:sz w:val="22"/>
          <w:szCs w:val="22"/>
        </w:rPr>
      </w:pPr>
      <w:r>
        <w:rPr>
          <w:rFonts w:cs="Tahoma" w:ascii="Tahoma" w:hAnsi="Tahoma"/>
          <w:iCs/>
          <w:sz w:val="22"/>
          <w:szCs w:val="22"/>
        </w:rPr>
        <w:t>di essere edotto degli obblighi derivanti dal Codice di comportamento adottato dalla stazione appaltante e di impegnarsi, in caso di aggiudicazione, ad osservare e a far osservare ai propri dipendenti e collaboratori, per quanto applicabile, il suddetto codice, pena la risoluzione del contratto;</w:t>
      </w:r>
    </w:p>
    <w:p>
      <w:pPr>
        <w:pStyle w:val="Normal"/>
        <w:numPr>
          <w:ilvl w:val="0"/>
          <w:numId w:val="1"/>
        </w:numPr>
        <w:spacing w:before="120" w:after="120"/>
        <w:jc w:val="both"/>
        <w:rPr>
          <w:rFonts w:cs="Tahoma" w:ascii="Tahoma" w:hAnsi="Tahoma"/>
          <w:iCs/>
          <w:color w:val="FF0000"/>
          <w:sz w:val="22"/>
          <w:szCs w:val="22"/>
        </w:rPr>
      </w:pPr>
      <w:r>
        <w:rPr>
          <w:rFonts w:cs="Tahoma" w:ascii="Tahoma" w:hAnsi="Tahoma"/>
          <w:b/>
          <w:iCs/>
          <w:color w:val="FF0000"/>
          <w:sz w:val="22"/>
          <w:szCs w:val="22"/>
        </w:rPr>
        <w:t>[in caso di vigenza di patti/protocolli di legalità]</w:t>
      </w:r>
      <w:r>
        <w:rPr>
          <w:rFonts w:cs="Tahoma" w:ascii="Tahoma" w:hAnsi="Tahoma"/>
          <w:iCs/>
          <w:color w:val="FF0000"/>
          <w:sz w:val="22"/>
          <w:szCs w:val="22"/>
        </w:rPr>
        <w:t xml:space="preserve"> di accettare il patto di integrità/protocollo di legalità della stazione appaltante, che allega sottoscritto digitalmente per integrale conoscenza e accettazione;</w:t>
      </w:r>
    </w:p>
    <w:p>
      <w:pPr>
        <w:pStyle w:val="Normal"/>
        <w:spacing w:before="120" w:after="120"/>
        <w:ind w:left="360" w:right="0" w:hanging="0"/>
        <w:jc w:val="center"/>
        <w:rPr>
          <w:rFonts w:cs="Tahoma" w:ascii="Tahoma" w:hAnsi="Tahoma"/>
          <w:b/>
          <w:bCs/>
          <w:iCs/>
          <w:sz w:val="22"/>
          <w:szCs w:val="22"/>
        </w:rPr>
      </w:pPr>
      <w:r>
        <w:rPr>
          <w:rFonts w:cs="Tahoma" w:ascii="Tahoma" w:hAnsi="Tahoma"/>
          <w:b/>
          <w:bCs/>
          <w:iCs/>
          <w:sz w:val="22"/>
          <w:szCs w:val="22"/>
        </w:rPr>
        <w:t>ATTESTA INFINE</w:t>
      </w:r>
    </w:p>
    <w:p>
      <w:pPr>
        <w:pStyle w:val="Normal"/>
        <w:spacing w:before="120" w:after="120"/>
        <w:ind w:left="360" w:right="0" w:hanging="0"/>
        <w:jc w:val="both"/>
        <w:rPr>
          <w:rFonts w:cs="Tahoma" w:ascii="Tahoma" w:hAnsi="Tahoma"/>
          <w:iCs/>
          <w:sz w:val="22"/>
          <w:szCs w:val="22"/>
        </w:rPr>
      </w:pPr>
      <w:r>
        <w:rPr>
          <w:rFonts w:cs="Tahoma" w:ascii="Tahoma" w:hAnsi="Tahoma"/>
          <w:iCs/>
          <w:sz w:val="22"/>
          <w:szCs w:val="22"/>
        </w:rPr>
      </w:r>
    </w:p>
    <w:p>
      <w:pPr>
        <w:pStyle w:val="Normal"/>
        <w:numPr>
          <w:ilvl w:val="0"/>
          <w:numId w:val="1"/>
        </w:numPr>
        <w:spacing w:before="120" w:after="120"/>
        <w:jc w:val="both"/>
        <w:rPr>
          <w:rFonts w:cs="Tahoma" w:ascii="Tahoma" w:hAnsi="Tahoma"/>
          <w:iCs/>
          <w:sz w:val="22"/>
          <w:szCs w:val="22"/>
        </w:rPr>
      </w:pPr>
      <w:r>
        <w:rPr>
          <w:rFonts w:cs="Tahoma" w:ascii="Tahoma" w:hAnsi="Tahoma"/>
          <w:iCs/>
          <w:sz w:val="22"/>
          <w:szCs w:val="22"/>
        </w:rPr>
        <w:t xml:space="preserve">Di aver preso visione dell’informativa per la Privacy allegata alla lettera di invito </w:t>
      </w:r>
    </w:p>
    <w:p>
      <w:pPr>
        <w:pStyle w:val="Normal"/>
        <w:numPr>
          <w:ilvl w:val="0"/>
          <w:numId w:val="1"/>
        </w:numPr>
        <w:spacing w:before="120" w:after="120"/>
        <w:jc w:val="both"/>
        <w:rPr>
          <w:rFonts w:cs="Tahoma" w:ascii="Tahoma" w:hAnsi="Tahoma"/>
          <w:iCs/>
          <w:sz w:val="22"/>
          <w:szCs w:val="22"/>
        </w:rPr>
      </w:pPr>
      <w:r>
        <w:rPr>
          <w:rFonts w:cs="Tahoma" w:ascii="Tahoma" w:hAnsi="Tahoma"/>
          <w:iCs/>
          <w:sz w:val="22"/>
          <w:szCs w:val="22"/>
        </w:rPr>
        <w:t>di essere informato, ai sensi e per gli effetti dell’articolo 13 Regolamento (UE) 2016/679 del Parlamento Europeo e del Consiglio del 27 aprile 2016, che i dati personali raccolti saranno trattati, anche con strumenti informatici, esclusivamente nell’ambito della presente gara, nonché dell’esistenza dei diritti di cui all’articolo 7 del medesimo decreto legislativo.</w:t>
      </w:r>
    </w:p>
    <w:p>
      <w:pPr>
        <w:pStyle w:val="Normal"/>
        <w:spacing w:before="120" w:after="120"/>
        <w:ind w:left="360" w:right="0" w:hanging="0"/>
        <w:jc w:val="both"/>
        <w:rPr>
          <w:rFonts w:cs="Tahoma" w:ascii="Tahoma" w:hAnsi="Tahoma"/>
          <w:sz w:val="22"/>
          <w:szCs w:val="22"/>
        </w:rPr>
      </w:pPr>
      <w:r>
        <w:rPr>
          <w:rFonts w:cs="Tahoma" w:ascii="Tahoma" w:hAnsi="Tahoma"/>
          <w:sz w:val="22"/>
          <w:szCs w:val="22"/>
        </w:rPr>
        <w:t>Il sottoscritto è consapevole che, qualora fosse accertata la non veridicità del contenuto della presente dichiarazione, questo operatore economico verrà escluso dalla presente procedura di gara o, se risultato aggiudicatario, decadrà dalla aggiudicazione medesima la quale verrà annullata e/o revocata; inoltre, qualora la non veridicità del contenuto della presente dichiarazione fosse accertata dopo la stipula del contratto, questo potrà essere risolto di diritto dalla stazione appaltante ai sensi dell’art. 1456 cod. civ.</w:t>
      </w:r>
    </w:p>
    <w:p>
      <w:pPr>
        <w:pStyle w:val="Normal"/>
        <w:spacing w:before="120" w:after="120"/>
        <w:ind w:left="360" w:right="0" w:hanging="0"/>
        <w:jc w:val="center"/>
        <w:rPr>
          <w:rFonts w:cs="Tahoma" w:ascii="Tahoma" w:hAnsi="Tahoma"/>
          <w:i/>
          <w:sz w:val="22"/>
          <w:szCs w:val="22"/>
        </w:rPr>
      </w:pPr>
      <w:r>
        <w:rPr>
          <w:rFonts w:cs="Tahoma" w:ascii="Tahoma" w:hAnsi="Tahoma"/>
          <w:i/>
          <w:sz w:val="22"/>
          <w:szCs w:val="22"/>
        </w:rPr>
        <w:tab/>
        <w:t>Firma digitale del/dei Legale/i Rappresentante/i</w:t>
      </w:r>
    </w:p>
    <w:p>
      <w:pPr>
        <w:pStyle w:val="Normal"/>
        <w:spacing w:before="0" w:after="120"/>
        <w:rPr/>
      </w:pPr>
      <w:r>
        <w:rPr/>
      </w:r>
    </w:p>
    <w:sectPr>
      <w:headerReference w:type="default" r:id="rId2"/>
      <w:footerReference w:type="default" r:id="rId3"/>
      <w:footnotePr>
        <w:numFmt w:val="decimal"/>
      </w:footnotePr>
      <w:type w:val="nextPage"/>
      <w:pgSz w:w="11906" w:h="16838"/>
      <w:pgMar w:left="1134" w:right="1134" w:header="720" w:top="2127" w:footer="339" w:bottom="1080" w:gutter="0"/>
      <w:pgNumType w:fmt="decimal"/>
      <w:formProt w:val="false"/>
      <w:textDirection w:val="lrTb"/>
      <w:docGrid w:type="default" w:linePitch="360" w:charSpace="6143"/>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Verdana">
    <w:charset w:val="00"/>
    <w:family w:val="roman"/>
    <w:pitch w:val="variable"/>
  </w:font>
  <w:font w:name="Liberation Sans">
    <w:altName w:val="Arial"/>
    <w:charset w:val="00"/>
    <w:family w:val="swiss"/>
    <w:pitch w:val="variable"/>
  </w:font>
  <w:font w:name="Tahoma">
    <w:charset w:val="00"/>
    <w:family w:val="roman"/>
    <w:pitch w:val="variable"/>
  </w:font>
  <w:font w:name="Courier">
    <w:altName w:val="Courier New"/>
    <w:charset w:val="00"/>
    <w:family w:val="roman"/>
    <w:pitch w:val="variable"/>
  </w:font>
  <w:font w:name="Courier New">
    <w:charset w:val="01"/>
    <w:family w:val="modern"/>
    <w:pitch w:val="fixed"/>
  </w:font>
  <w:font w:name="Wingdings">
    <w:charset w:val="02"/>
    <w:family w:val="auto"/>
    <w:pitch w:val="variable"/>
  </w:font>
  <w:font w:name="Garamond">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Pidipagina"/>
      <w:jc w:val="center"/>
      <w:rPr/>
    </w:pPr>
    <w:r>
      <w:rPr/>
      <w:fldChar w:fldCharType="begin"/>
    </w:r>
    <w:r>
      <w:instrText> PAGE </w:instrText>
    </w:r>
    <w:r>
      <w:fldChar w:fldCharType="separate"/>
    </w:r>
    <w:r>
      <w:t>8</w:t>
    </w:r>
    <w:r>
      <w:fldChar w:fldCharType="end"/>
    </w:r>
  </w:p>
  <w:p>
    <w:pPr>
      <w:pStyle w:val="Normal"/>
      <w:tabs>
        <w:tab w:val="left" w:pos="720" w:leader="none"/>
        <w:tab w:val="center" w:pos="4248" w:leader="none"/>
      </w:tabs>
      <w:spacing w:before="0" w:after="120"/>
      <w:jc w:val="center"/>
      <w:rPr>
        <w:rFonts w:cs="Courier" w:ascii="Courier" w:hAnsi="Courier"/>
        <w:sz w:val="24"/>
      </w:rPr>
    </w:pPr>
    <w:r>
      <w:rPr>
        <w:rFonts w:cs="Courier" w:ascii="Courier" w:hAnsi="Courier"/>
        <w:sz w:val="24"/>
      </w:rPr>
    </w:r>
  </w:p>
</w:ftr>
</file>

<file path=word/footnotes.xml><?xml version="1.0" encoding="utf-8"?>
<w:footnotes xmlns:w="http://schemas.openxmlformats.org/wordprocessingml/2006/main" xmlns:r="http://schemas.openxmlformats.org/officeDocument/2006/relationships">
  <w:footnote w:id="0" w:type="separator">
    <w:p>
      <w:r>
        <w:separator/>
      </w:r>
    </w:p>
  </w:footnote>
  <w:footnote w:id="1" w:type="continuationSeparator">
    <w:p>
      <w:r>
        <w:continuationSeparator/>
      </w:r>
    </w:p>
  </w:footnote>
  <w:footnote w:id="2">
    <w:p>
      <w:pPr>
        <w:pStyle w:val="Footnotetext"/>
        <w:rPr>
          <w:rFonts w:cs="Tahoma" w:ascii="Tahoma" w:hAnsi="Tahoma"/>
          <w:sz w:val="16"/>
          <w:szCs w:val="16"/>
        </w:rPr>
      </w:pPr>
      <w:r>
        <w:rPr>
          <w:rStyle w:val="Footnotereference"/>
          <w:rFonts w:cs="Tahoma" w:ascii="Tahoma" w:hAnsi="Tahoma"/>
          <w:sz w:val="16"/>
          <w:szCs w:val="16"/>
        </w:rPr>
        <w:footnoteRef/>
        <w:tab/>
      </w:r>
      <w:r>
        <w:rPr>
          <w:rFonts w:cs="Tahoma" w:ascii="Tahoma" w:hAnsi="Tahoma"/>
          <w:sz w:val="16"/>
          <w:szCs w:val="16"/>
        </w:rPr>
        <w:t xml:space="preserve"> </w:t>
      </w:r>
      <w:r>
        <w:rPr>
          <w:rFonts w:cs="Tahoma" w:ascii="Tahoma" w:hAnsi="Tahoma"/>
          <w:b/>
          <w:sz w:val="16"/>
          <w:szCs w:val="16"/>
        </w:rPr>
        <w:t>Nella tabella vanno inseriti i dati di tutti i seguenti soggetti:</w:t>
      </w:r>
      <w:r>
        <w:rPr>
          <w:rFonts w:cs="Tahoma" w:ascii="Tahoma" w:hAnsi="Tahoma"/>
          <w:sz w:val="16"/>
          <w:szCs w:val="16"/>
        </w:rPr>
        <w:t xml:space="preserve"> a) dell'operatore economico stesso, ai sensi e nei termini di cui al decreto legislativo 8 giugno 2001, n. 231; </w:t>
      </w:r>
    </w:p>
    <w:p>
      <w:pPr>
        <w:pStyle w:val="Footnotetext"/>
        <w:rPr>
          <w:rFonts w:cs="Tahoma" w:ascii="Tahoma" w:hAnsi="Tahoma"/>
          <w:sz w:val="16"/>
          <w:szCs w:val="16"/>
        </w:rPr>
      </w:pPr>
      <w:r>
        <w:rPr>
          <w:rFonts w:cs="Tahoma" w:ascii="Tahoma" w:hAnsi="Tahoma"/>
          <w:sz w:val="16"/>
          <w:szCs w:val="16"/>
        </w:rPr>
        <w:tab/>
        <w:t xml:space="preserve">b) del titolare e del direttore tecnico, se si tratta di impresa individuale; </w:t>
      </w:r>
    </w:p>
    <w:p>
      <w:pPr>
        <w:pStyle w:val="Footnotetext"/>
        <w:rPr>
          <w:rFonts w:cs="Tahoma" w:ascii="Tahoma" w:hAnsi="Tahoma"/>
          <w:sz w:val="16"/>
          <w:szCs w:val="16"/>
        </w:rPr>
      </w:pPr>
      <w:r>
        <w:rPr>
          <w:rFonts w:cs="Tahoma" w:ascii="Tahoma" w:hAnsi="Tahoma"/>
          <w:sz w:val="16"/>
          <w:szCs w:val="16"/>
        </w:rPr>
        <w:tab/>
        <w:t xml:space="preserve">c) di un socio amministratore e del direttore tecnico, se si tratta di societa' in nome collettivo; </w:t>
      </w:r>
    </w:p>
    <w:p>
      <w:pPr>
        <w:pStyle w:val="Footnotetext"/>
        <w:rPr>
          <w:rFonts w:cs="Tahoma" w:ascii="Tahoma" w:hAnsi="Tahoma"/>
          <w:sz w:val="16"/>
          <w:szCs w:val="16"/>
        </w:rPr>
      </w:pPr>
      <w:r>
        <w:rPr>
          <w:rFonts w:cs="Tahoma" w:ascii="Tahoma" w:hAnsi="Tahoma"/>
          <w:sz w:val="16"/>
          <w:szCs w:val="16"/>
        </w:rPr>
        <w:tab/>
        <w:t xml:space="preserve">d) dei soci accomandatari e del direttore tecnico, se si tratta di societa' in accomandita semplice; </w:t>
      </w:r>
    </w:p>
    <w:p>
      <w:pPr>
        <w:pStyle w:val="Footnotetext"/>
        <w:rPr>
          <w:rFonts w:cs="Tahoma" w:ascii="Tahoma" w:hAnsi="Tahoma"/>
          <w:sz w:val="16"/>
          <w:szCs w:val="16"/>
        </w:rPr>
      </w:pPr>
      <w:r>
        <w:rPr>
          <w:rFonts w:cs="Tahoma" w:ascii="Tahoma" w:hAnsi="Tahoma"/>
          <w:sz w:val="16"/>
          <w:szCs w:val="16"/>
        </w:rPr>
        <w:tab/>
        <w:t xml:space="preserve">e) dei membri del consiglio di amministrazione cui sia stata conferita la legale rappresentanza, ivi compresi gli institori e i procuratori generali; </w:t>
      </w:r>
    </w:p>
    <w:p>
      <w:pPr>
        <w:pStyle w:val="Footnotetext"/>
        <w:rPr>
          <w:rFonts w:cs="Tahoma" w:ascii="Tahoma" w:hAnsi="Tahoma"/>
          <w:sz w:val="16"/>
          <w:szCs w:val="16"/>
        </w:rPr>
      </w:pPr>
      <w:r>
        <w:rPr>
          <w:rFonts w:cs="Tahoma" w:ascii="Tahoma" w:hAnsi="Tahoma"/>
          <w:sz w:val="16"/>
          <w:szCs w:val="16"/>
        </w:rPr>
        <w:tab/>
        <w:t xml:space="preserve">f) dei componenti degli organi con poteri di direzione e di vigilanza e dei soggetti muniti di poteri di rappresentanza, di direzione o di controllo; </w:t>
      </w:r>
    </w:p>
    <w:p>
      <w:pPr>
        <w:pStyle w:val="Footnotetext"/>
        <w:rPr>
          <w:rFonts w:cs="Tahoma" w:ascii="Tahoma" w:hAnsi="Tahoma"/>
          <w:sz w:val="16"/>
          <w:szCs w:val="16"/>
        </w:rPr>
      </w:pPr>
      <w:r>
        <w:rPr>
          <w:rFonts w:cs="Tahoma" w:ascii="Tahoma" w:hAnsi="Tahoma"/>
          <w:sz w:val="16"/>
          <w:szCs w:val="16"/>
        </w:rPr>
        <w:tab/>
        <w:t xml:space="preserve">g) del direttore tecnico e del socio unico; </w:t>
      </w:r>
    </w:p>
    <w:p>
      <w:pPr>
        <w:pStyle w:val="Footnotetext"/>
        <w:rPr>
          <w:rFonts w:cs="Tahoma" w:ascii="Tahoma" w:hAnsi="Tahoma"/>
          <w:sz w:val="16"/>
          <w:szCs w:val="16"/>
        </w:rPr>
      </w:pPr>
      <w:r>
        <w:rPr>
          <w:rFonts w:cs="Tahoma" w:ascii="Tahoma" w:hAnsi="Tahoma"/>
          <w:sz w:val="16"/>
          <w:szCs w:val="16"/>
        </w:rPr>
        <w:tab/>
        <w:t xml:space="preserve">h) dell'amministratore di fatto nelle ipotesi di cui alle lettere precedenti. </w:t>
      </w:r>
    </w:p>
    <w:p>
      <w:pPr>
        <w:pStyle w:val="Footnotetext"/>
        <w:rPr/>
      </w:pPr>
      <w:r>
        <w:rPr/>
        <w:tab/>
        <w:t>Nel caso in cui il socio sia una persona giuridica, vanno indicati anche tutti gli amministratori di quest'ultima</w:t>
      </w:r>
    </w:p>
    <w:p>
      <w:pPr>
        <w:pStyle w:val="Notaapidipagina"/>
        <w:spacing w:before="0" w:after="120"/>
        <w:rPr/>
      </w:pPr>
      <w:r>
        <w:rPr/>
      </w:r>
    </w:p>
  </w:footnote>
  <w:footnote w:id="3">
    <w:p>
      <w:pPr>
        <w:pStyle w:val="Footnotetext"/>
        <w:jc w:val="both"/>
        <w:rPr>
          <w:sz w:val="16"/>
          <w:szCs w:val="16"/>
        </w:rPr>
      </w:pPr>
      <w:r>
        <w:rPr>
          <w:rStyle w:val="Footnotereference"/>
        </w:rPr>
        <w:footnoteRef/>
        <w:tab/>
      </w:r>
      <w:r>
        <w:rPr/>
        <w:t xml:space="preserve"> </w:t>
      </w:r>
      <w:r>
        <w:rPr>
          <w:sz w:val="16"/>
          <w:szCs w:val="16"/>
        </w:rPr>
        <w:t xml:space="preserve">Come previsto dall’art. 2 dell’allegato II.10 del D.Lgs. 36/2023, ai sensi e per gli effetti dell'articolo 95, comma 2, del codice si considera violazione l'inottemperanza agli obblighi, relativi al pagamento di imposte e tasse derivanti dalla: a) notifica di atti impositivi, conseguenti ad attivita' di controllo degli uffici; </w:t>
      </w:r>
    </w:p>
    <w:p>
      <w:pPr>
        <w:pStyle w:val="Footnotetext"/>
        <w:jc w:val="both"/>
        <w:rPr>
          <w:sz w:val="16"/>
          <w:szCs w:val="16"/>
        </w:rPr>
      </w:pPr>
      <w:r>
        <w:rPr>
          <w:sz w:val="16"/>
          <w:szCs w:val="16"/>
        </w:rPr>
        <w:tab/>
        <w:t xml:space="preserve">b) notifica di atti impositivi, conseguenti ad attivita' di liquidazione degli uffici; </w:t>
      </w:r>
    </w:p>
    <w:p>
      <w:pPr>
        <w:pStyle w:val="Footnotetext"/>
        <w:jc w:val="both"/>
        <w:rPr>
          <w:sz w:val="16"/>
          <w:szCs w:val="16"/>
        </w:rPr>
      </w:pPr>
      <w:r>
        <w:rPr>
          <w:sz w:val="16"/>
          <w:szCs w:val="16"/>
        </w:rPr>
        <w:tab/>
        <w:t>c) notifica di cartelle di pagamento concernenti pretese tributarie, oggetto di comunicazioni di irregolarita' emesse a seguito di controllo automatizzato o formale della dichiarazione</w:t>
      </w:r>
    </w:p>
    <w:p>
      <w:pPr>
        <w:pStyle w:val="Footnotetext"/>
        <w:jc w:val="both"/>
        <w:rPr>
          <w:sz w:val="16"/>
          <w:szCs w:val="16"/>
        </w:rPr>
      </w:pPr>
      <w:r>
        <w:rPr>
          <w:sz w:val="16"/>
          <w:szCs w:val="16"/>
        </w:rPr>
        <w:tab/>
        <w:t>La violazione si considera grave quando comporta l'inottemperanza a un obbligo di pagamento di imposte o tasse per un importo che, con esclusione di sanzioni e interessi, e' pari o superiore al 10 per cento del valore dell'appalto e comunque di importo non inferiore a 35.000 euro.</w:t>
      </w:r>
    </w:p>
    <w:p>
      <w:pPr>
        <w:pStyle w:val="Notaapidipagina"/>
        <w:spacing w:before="0" w:after="120"/>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Intestazione"/>
      <w:jc w:val="right"/>
      <w:rPr>
        <w:rFonts w:cs="Tahoma" w:ascii="Tahoma" w:hAnsi="Tahoma"/>
        <w:b/>
      </w:rPr>
    </w:pPr>
    <w:r>
      <w:rPr>
        <w:rFonts w:cs="Tahoma" w:ascii="Tahoma" w:hAnsi="Tahoma"/>
        <w:b/>
      </w:rPr>
      <w:t>MOD_AUTOCERTIFICAZIONE</w:t>
    </w:r>
  </w:p>
  <w:p>
    <w:pPr>
      <w:pStyle w:val="Intestazione"/>
      <w:jc w:val="right"/>
      <w:rPr>
        <w:rFonts w:cs="Tahoma" w:ascii="Tahoma" w:hAnsi="Tahoma"/>
        <w:b/>
      </w:rPr>
    </w:pPr>
    <w:r>
      <w:rPr>
        <w:rFonts w:cs="Tahoma" w:ascii="Tahoma" w:hAnsi="Tahoma"/>
        <w:b/>
      </w:rPr>
      <w:t>AFFIDAMENTO DIRETTO &lt; 40.000 €</w:t>
    </w:r>
  </w:p>
  <w:p>
    <w:pPr>
      <w:pStyle w:val="Intestazione"/>
      <w:spacing w:before="0" w:after="120"/>
      <w:jc w:val="right"/>
      <w:rPr>
        <w:rFonts w:cs="Tahoma" w:ascii="Tahoma" w:hAnsi="Tahoma"/>
        <w:b/>
      </w:rPr>
    </w:pPr>
    <w:r>
      <w:rPr>
        <w:rFonts w:cs="Tahoma" w:ascii="Tahoma" w:hAnsi="Tahoma"/>
        <w:b/>
      </w:rPr>
      <w:t>(non utilizzabile per affidamento PNRR-PNC)</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2"/>
        <w:b/>
        <w:szCs w:val="22"/>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lvl w:ilvl="0">
      <w:start w:val="1"/>
      <w:numFmt w:val="decimal"/>
      <w:lvlText w:val="%1)"/>
      <w:lvlJc w:val="left"/>
      <w:pPr>
        <w:ind w:left="1512" w:hanging="360"/>
      </w:pPr>
    </w:lvl>
    <w:lvl w:ilvl="1">
      <w:start w:val="1"/>
      <w:numFmt w:val="lowerLetter"/>
      <w:lvlText w:val="%2."/>
      <w:lvlJc w:val="left"/>
      <w:pPr>
        <w:ind w:left="2232" w:hanging="360"/>
      </w:pPr>
    </w:lvl>
    <w:lvl w:ilvl="2">
      <w:start w:val="1"/>
      <w:numFmt w:val="lowerRoman"/>
      <w:lvlText w:val="%3."/>
      <w:lvlJc w:val="right"/>
      <w:pPr>
        <w:ind w:left="2952" w:hanging="180"/>
      </w:pPr>
    </w:lvl>
    <w:lvl w:ilvl="3">
      <w:start w:val="1"/>
      <w:numFmt w:val="decimal"/>
      <w:lvlText w:val="%4."/>
      <w:lvlJc w:val="left"/>
      <w:pPr>
        <w:ind w:left="3672" w:hanging="360"/>
      </w:pPr>
    </w:lvl>
    <w:lvl w:ilvl="4">
      <w:start w:val="1"/>
      <w:numFmt w:val="lowerLetter"/>
      <w:lvlText w:val="%5."/>
      <w:lvlJc w:val="left"/>
      <w:pPr>
        <w:ind w:left="4392" w:hanging="360"/>
      </w:pPr>
    </w:lvl>
    <w:lvl w:ilvl="5">
      <w:start w:val="1"/>
      <w:numFmt w:val="lowerRoman"/>
      <w:lvlText w:val="%6."/>
      <w:lvlJc w:val="right"/>
      <w:pPr>
        <w:ind w:left="5112" w:hanging="180"/>
      </w:pPr>
    </w:lvl>
    <w:lvl w:ilvl="6">
      <w:start w:val="1"/>
      <w:numFmt w:val="decimal"/>
      <w:lvlText w:val="%7."/>
      <w:lvlJc w:val="left"/>
      <w:pPr>
        <w:ind w:left="5832" w:hanging="360"/>
      </w:pPr>
    </w:lvl>
    <w:lvl w:ilvl="7">
      <w:start w:val="1"/>
      <w:numFmt w:val="lowerLetter"/>
      <w:lvlText w:val="%8."/>
      <w:lvlJc w:val="left"/>
      <w:pPr>
        <w:ind w:left="6552" w:hanging="360"/>
      </w:pPr>
    </w:lvl>
    <w:lvl w:ilvl="8">
      <w:start w:val="1"/>
      <w:numFmt w:val="lowerRoman"/>
      <w:lvlText w:val="%9."/>
      <w:lvlJc w:val="right"/>
      <w:pPr>
        <w:ind w:left="7272" w:hanging="180"/>
      </w:p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bullet"/>
      <w:lvlText w:val="-"/>
      <w:lvlJc w:val="left"/>
      <w:pPr>
        <w:ind w:left="720" w:hanging="360"/>
      </w:pPr>
      <w:rPr>
        <w:rFonts w:ascii="Garamond" w:hAnsi="Garamond" w:cs="Garamond"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lvl w:ilvl="0">
      <w:start w:val="1"/>
      <w:numFmt w:val="decimal"/>
      <w:lvlText w:val="%1."/>
      <w:lvlJc w:val="left"/>
      <w:pPr>
        <w:ind w:left="360" w:hanging="360"/>
      </w:pPr>
      <w:rPr>
        <w:sz w:val="22"/>
        <w:b/>
        <w:szCs w:val="22"/>
      </w:rPr>
    </w:lvl>
    <w:lvl w:ilvl="1">
      <w:start w:val="1"/>
      <w:numFmt w:val="bullet"/>
      <w:lvlText w:val=""/>
      <w:lvlJc w:val="left"/>
      <w:pPr>
        <w:ind w:left="792" w:hanging="432"/>
      </w:pPr>
      <w:rPr>
        <w:rFonts w:ascii="Symbol" w:hAnsi="Symbol" w:cs="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720"/>
  <w:footnotePr>
    <w:numFmt w:val="decimal"/>
    <w:footnote w:id="0"/>
    <w:footnote w:id="1"/>
  </w:footnotePr>
</w:settings>
</file>

<file path=word/styles.xml><?xml version="1.0" encoding="utf-8"?>
<w:styles xmlns:w="http://schemas.openxmlformats.org/wordprocessingml/2006/main">
  <w:docDefaults>
    <w:rPrDefault>
      <w:rPr>
        <w:rFonts w:ascii="Calibri" w:hAnsi="Calibri" w:eastAsia="SimSun" w:cs="Calibri"/>
        <w:sz w:val="22"/>
        <w:szCs w:val="22"/>
        <w:lang w:val="en-US" w:eastAsia="en-US" w:bidi="ar-SA"/>
      </w:rPr>
    </w:rPrDefault>
    <w:pPrDefault>
      <w:pPr>
        <w:spacing w:lineRule="auto" w:line="259"/>
      </w:pPr>
    </w:pPrDefault>
  </w:docDefaults>
  <w:latentStyles w:count="375"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uiPriority="0" w:name="header"/>
    <w:lsdException w:unhideWhenUsed="1" w:semiHidden="1" w:uiPriority="0"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uiPriority="0"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5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1" w:semiHidden="1" w:name="Mention"/>
    <w:lsdException w:unhideWhenUsed="1" w:semiHidden="1" w:name="Smart Hyperlink"/>
    <w:lsdException w:unhideWhenUsed="1" w:semiHidden="1" w:name="Hashtag"/>
    <w:lsdException w:unhideWhenUsed="1" w:semiHidden="1" w:name="Unresolved Mention"/>
  </w:latentStyles>
  <w:style w:type="paragraph" w:styleId="Normal" w:customStyle="1">
    <w:name w:val="Normal"/>
    <w:rsid w:val="007a02b4"/>
    <w:pPr>
      <w:widowControl/>
      <w:suppressAutoHyphens w:val="true"/>
      <w:bidi w:val="0"/>
      <w:spacing w:lineRule="auto" w:line="240" w:before="0" w:after="120"/>
      <w:jc w:val="both"/>
      <w:textAlignment w:val="baseline"/>
    </w:pPr>
    <w:rPr>
      <w:rFonts w:ascii="Calibri" w:hAnsi="Calibri" w:eastAsia="Times New Roman" w:cs="Arial"/>
      <w:color w:val="auto"/>
      <w:sz w:val="18"/>
      <w:szCs w:val="20"/>
      <w:lang w:val="it-IT" w:eastAsia="it-IT" w:bidi="ar-SA"/>
    </w:rPr>
  </w:style>
  <w:style w:type="character" w:styleId="DefaultParagraphFont" w:default="1">
    <w:name w:val="Default Paragraph Font"/>
    <w:uiPriority w:val="1"/>
    <w:semiHidden/>
    <w:unhideWhenUsed/>
    <w:rPr/>
  </w:style>
  <w:style w:type="character" w:styleId="CorpotestoCarattere" w:customStyle="1">
    <w:name w:val="Corpo testo Carattere"/>
    <w:link w:val="Corpotesto"/>
    <w:rsid w:val="007a02b4"/>
    <w:basedOn w:val="DefaultParagraphFont"/>
    <w:rPr>
      <w:rFonts w:ascii="Arial" w:hAnsi="Arial" w:eastAsia="Times New Roman" w:cs="Arial"/>
      <w:color w:val="0000FF"/>
      <w:szCs w:val="20"/>
      <w:lang w:val="it-IT" w:eastAsia="zh-CN"/>
    </w:rPr>
  </w:style>
  <w:style w:type="character" w:styleId="PidipaginaCarattere" w:customStyle="1">
    <w:name w:val="Piè di pagina Carattere"/>
    <w:link w:val="Pidipagina"/>
    <w:rsid w:val="007a02b4"/>
    <w:basedOn w:val="DefaultParagraphFont"/>
    <w:rPr>
      <w:rFonts w:ascii="Times New Roman" w:hAnsi="Times New Roman" w:eastAsia="Times New Roman" w:cs="Times New Roman"/>
      <w:sz w:val="20"/>
      <w:szCs w:val="20"/>
      <w:lang w:val="it-IT" w:eastAsia="zh-CN"/>
    </w:rPr>
  </w:style>
  <w:style w:type="character" w:styleId="IntestazioneCarattere" w:customStyle="1">
    <w:name w:val="Intestazione Carattere"/>
    <w:link w:val="Intestazione"/>
    <w:rsid w:val="007a02b4"/>
    <w:basedOn w:val="DefaultParagraphFont"/>
    <w:rPr>
      <w:rFonts w:ascii="Times New Roman" w:hAnsi="Times New Roman" w:eastAsia="Times New Roman" w:cs="Times New Roman"/>
      <w:sz w:val="20"/>
      <w:szCs w:val="20"/>
      <w:lang w:val="it-IT" w:eastAsia="zh-CN"/>
    </w:rPr>
  </w:style>
  <w:style w:type="character" w:styleId="TestonotaapidipaginaCarattere" w:customStyle="1">
    <w:name w:val="Testo nota a piè di pagina Carattere"/>
    <w:uiPriority w:val="99"/>
    <w:link w:val="Testonotaapidipagina"/>
    <w:rsid w:val="007a02b4"/>
    <w:basedOn w:val="DefaultParagraphFont"/>
    <w:rPr>
      <w:rFonts w:ascii="Times New Roman" w:hAnsi="Times New Roman" w:eastAsia="Times New Roman" w:cs="Times New Roman"/>
      <w:sz w:val="20"/>
      <w:szCs w:val="20"/>
      <w:lang w:val="it-IT" w:eastAsia="zh-CN"/>
    </w:rPr>
  </w:style>
  <w:style w:type="character" w:styleId="Corpodeltesto2" w:customStyle="1">
    <w:name w:val="Corpo del testo (2)_"/>
    <w:uiPriority w:val="99"/>
    <w:link w:val="Corpodeltesto20"/>
    <w:rsid w:val="007a02b4"/>
    <w:rPr>
      <w:rFonts w:ascii="Verdana" w:hAnsi="Verdana" w:eastAsia="Verdana" w:cs="Verdana"/>
      <w:sz w:val="19"/>
      <w:szCs w:val="19"/>
      <w:shd w:fill="FFFFFF" w:val="clear"/>
    </w:rPr>
  </w:style>
  <w:style w:type="character" w:styleId="Footnotereference">
    <w:name w:val="footnote reference"/>
    <w:uiPriority w:val="99"/>
    <w:semiHidden/>
    <w:unhideWhenUsed/>
    <w:rsid w:val="007a02b4"/>
    <w:basedOn w:val="DefaultParagraphFont"/>
    <w:rPr>
      <w:vertAlign w:val="superscript"/>
    </w:rPr>
  </w:style>
  <w:style w:type="character" w:styleId="ListLabel1">
    <w:name w:val="ListLabel 1"/>
    <w:rPr>
      <w:b/>
      <w:sz w:val="22"/>
      <w:szCs w:val="22"/>
    </w:rPr>
  </w:style>
  <w:style w:type="character" w:styleId="ListLabel2">
    <w:name w:val="ListLabel 2"/>
    <w:rPr>
      <w:rFonts w:cs="Courier New"/>
    </w:rPr>
  </w:style>
  <w:style w:type="character" w:styleId="ListLabel3">
    <w:name w:val="ListLabel 3"/>
    <w:rPr>
      <w:rFonts w:eastAsia="Times New Roman" w:cs="Times New Roman"/>
    </w:rPr>
  </w:style>
  <w:style w:type="character" w:styleId="Caratteredellanota">
    <w:name w:val="Carattere della nota"/>
    <w:rPr/>
  </w:style>
  <w:style w:type="character" w:styleId="Richiamoallanotaapidipagina">
    <w:name w:val="Richiamo alla nota a piè di pagina"/>
    <w:rPr>
      <w:vertAlign w:val="superscript"/>
    </w:rPr>
  </w:style>
  <w:style w:type="character" w:styleId="Richiamoallanotadichiusura">
    <w:name w:val="Richiamo alla nota di chiusura"/>
    <w:rPr>
      <w:vertAlign w:val="superscript"/>
    </w:rPr>
  </w:style>
  <w:style w:type="character" w:styleId="Caratterenotadichiusura">
    <w:name w:val="Carattere nota di chiusura"/>
    <w:rPr/>
  </w:style>
  <w:style w:type="paragraph" w:styleId="Titolo">
    <w:name w:val="Titolo"/>
    <w:basedOn w:val="Normal"/>
    <w:next w:val="Corpodeltesto"/>
    <w:pPr>
      <w:keepNext/>
      <w:spacing w:before="240" w:after="120"/>
    </w:pPr>
    <w:rPr>
      <w:rFonts w:ascii="Liberation Sans" w:hAnsi="Liberation Sans" w:eastAsia="Microsoft YaHei" w:cs="Lucida Sans"/>
      <w:sz w:val="28"/>
      <w:szCs w:val="28"/>
    </w:rPr>
  </w:style>
  <w:style w:type="paragraph" w:styleId="Corpodeltesto">
    <w:name w:val="Corpo del testo"/>
    <w:link w:val="CorpotestoCarattere"/>
    <w:rsid w:val="007a02b4"/>
    <w:basedOn w:val="Normal"/>
    <w:pPr>
      <w:spacing w:lineRule="atLeast" w:line="480"/>
      <w:jc w:val="both"/>
    </w:pPr>
    <w:rPr>
      <w:rFonts w:ascii="Arial" w:hAnsi="Arial" w:cs="Arial"/>
      <w:color w:val="0000FF"/>
      <w:sz w:val="22"/>
    </w:rPr>
  </w:style>
  <w:style w:type="paragraph" w:styleId="Elenco">
    <w:name w:val="Elenco"/>
    <w:basedOn w:val="Corpodeltesto"/>
    <w:pPr/>
    <w:rPr>
      <w:rFonts w:cs="Lucida Sans"/>
    </w:rPr>
  </w:style>
  <w:style w:type="paragraph" w:styleId="Didascalia">
    <w:name w:val="Didascalia"/>
    <w:basedOn w:val="Normal"/>
    <w:pPr>
      <w:suppressLineNumbers/>
      <w:spacing w:before="120" w:after="120"/>
    </w:pPr>
    <w:rPr>
      <w:rFonts w:cs="Lucida Sans"/>
      <w:i/>
      <w:iCs/>
      <w:sz w:val="24"/>
      <w:szCs w:val="24"/>
    </w:rPr>
  </w:style>
  <w:style w:type="paragraph" w:styleId="Indice">
    <w:name w:val="Indice"/>
    <w:basedOn w:val="Normal"/>
    <w:pPr>
      <w:suppressLineNumbers/>
    </w:pPr>
    <w:rPr>
      <w:rFonts w:cs="Lucida Sans"/>
    </w:rPr>
  </w:style>
  <w:style w:type="paragraph" w:styleId="Pidipagina">
    <w:name w:val="Piè di pagina"/>
    <w:link w:val="PidipaginaCarattere"/>
    <w:rsid w:val="007a02b4"/>
    <w:basedOn w:val="Normal"/>
    <w:pPr>
      <w:tabs>
        <w:tab w:val="center" w:pos="4819" w:leader="none"/>
        <w:tab w:val="right" w:pos="9638" w:leader="none"/>
      </w:tabs>
    </w:pPr>
    <w:rPr/>
  </w:style>
  <w:style w:type="paragraph" w:styleId="Intestazione">
    <w:name w:val="Intestazione"/>
    <w:link w:val="IntestazioneCarattere"/>
    <w:rsid w:val="007a02b4"/>
    <w:basedOn w:val="Normal"/>
    <w:pPr>
      <w:tabs>
        <w:tab w:val="center" w:pos="4819" w:leader="none"/>
        <w:tab w:val="right" w:pos="9638" w:leader="none"/>
      </w:tabs>
    </w:pPr>
    <w:rPr/>
  </w:style>
  <w:style w:type="paragraph" w:styleId="Footnotetext">
    <w:name w:val="footnote text"/>
    <w:uiPriority w:val="99"/>
    <w:link w:val="TestonotaapidipaginaCarattere"/>
    <w:rsid w:val="007a02b4"/>
    <w:basedOn w:val="Normal"/>
    <w:pPr/>
    <w:rPr/>
  </w:style>
  <w:style w:type="paragraph" w:styleId="ListParagraph">
    <w:name w:val="List Paragraph"/>
    <w:uiPriority w:val="34"/>
    <w:qFormat/>
    <w:rsid w:val="007a02b4"/>
    <w:basedOn w:val="Normal"/>
    <w:pPr>
      <w:ind w:left="708" w:right="0" w:hanging="0"/>
    </w:pPr>
    <w:rPr/>
  </w:style>
  <w:style w:type="paragraph" w:styleId="Corpodeltesto21" w:customStyle="1">
    <w:name w:val="Corpo del testo (2)"/>
    <w:uiPriority w:val="99"/>
    <w:link w:val="Corpodeltesto2"/>
    <w:rsid w:val="007a02b4"/>
    <w:basedOn w:val="Normal"/>
    <w:pPr>
      <w:shd w:fill="FFFFFF" w:val="clear"/>
      <w:suppressAutoHyphens w:val="false"/>
      <w:spacing w:lineRule="exact" w:line="240" w:before="240" w:after="420"/>
      <w:jc w:val="both"/>
    </w:pPr>
    <w:rPr>
      <w:rFonts w:ascii="Verdana" w:hAnsi="Verdana" w:eastAsia="Verdana" w:cs="Verdana"/>
      <w:b/>
      <w:bCs/>
      <w:sz w:val="19"/>
      <w:szCs w:val="19"/>
      <w:lang w:val="en-US" w:eastAsia="en-US"/>
    </w:rPr>
  </w:style>
  <w:style w:type="paragraph" w:styleId="Notaapidipagina">
    <w:name w:val="Nota a piè di pagina"/>
    <w:basedOn w:val="Normal"/>
    <w:pPr/>
    <w:rPr/>
  </w:style>
  <w:style w:type="numbering" w:styleId="NoList" w:default="1">
    <w:name w:val="No List"/>
    <w:uiPriority w:val="99"/>
    <w:semiHidden/>
    <w:unhideWhenUsed/>
  </w:style>
  <w:style w:type="table" w:default="1" w:styleId="Tabellanormale">
    <w:name w:val="Normal Table"/>
    <w:uiPriority w:val="99"/>
    <w:semiHidden/>
    <w:unhideWhenUsed/>
    <w:tblPr>
      <w:tblInd w:type="dxa" w:w="0"/>
      <w:tblCellMar>
        <w:top w:w="0" w:type="dxa"/>
        <w:left w:w="108" w:type="dxa"/>
        <w:bottom w:w="0" w:type="dxa"/>
        <w:right w:w="108" w:type="dxa"/>
      </w:tblCellMar>
    </w:tblPr>
  </w:style>
  <w:style w:type="table" w:styleId="Grigliatabella">
    <w:name w:val="Table Grid"/>
    <w:basedOn w:val="Tabellanormale"/>
    <w:uiPriority w:val="59"/>
    <w:rsid w:val="007a02b4"/>
    <w:pPr>
      <w:spacing w:line="240" w:lineRule="auto" w:after="0"/>
    </w:pPr>
    <w:rPr>
      <w:lang w:eastAsia="it-IT" w:val="it-IT"/>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2023-11-10T16:46:00Z</dcterms:created>
  <dc:creator>Sara Bernasconi</dc:creator>
  <dc:language>it-IT</dc:language>
  <cp:lastModifiedBy>Isabella Reginato</cp:lastModifiedBy>
  <dcterms:modified xsi:type="dcterms:W3CDTF">2024-10-08T12:49:00Z</dcterms:modified>
  <cp:revision>15</cp:revision>
</cp:coreProperties>
</file>